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9B" w:rsidRDefault="0073459B" w:rsidP="00B10EC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363E2">
        <w:rPr>
          <w:rFonts w:hint="eastAsia"/>
          <w:b/>
          <w:sz w:val="36"/>
          <w:szCs w:val="36"/>
        </w:rPr>
        <w:t>台灣生育率「半折子數」，國家如何加倍奉還？</w:t>
      </w:r>
    </w:p>
    <w:p w:rsidR="00A363E2" w:rsidRPr="00A363E2" w:rsidRDefault="00A363E2" w:rsidP="00B10EC6">
      <w:pPr>
        <w:jc w:val="center"/>
        <w:rPr>
          <w:b/>
          <w:sz w:val="28"/>
          <w:szCs w:val="28"/>
        </w:rPr>
      </w:pPr>
      <w:r w:rsidRPr="00A363E2">
        <w:rPr>
          <w:rFonts w:hint="eastAsia"/>
          <w:b/>
          <w:sz w:val="28"/>
          <w:szCs w:val="28"/>
        </w:rPr>
        <w:t>托育政策催生聯盟</w:t>
      </w:r>
      <w:r w:rsidRPr="00A363E2">
        <w:rPr>
          <w:rFonts w:hint="eastAsia"/>
          <w:b/>
          <w:sz w:val="28"/>
          <w:szCs w:val="28"/>
        </w:rPr>
        <w:t>102.11.05</w:t>
      </w:r>
    </w:p>
    <w:p w:rsidR="00A363E2" w:rsidRDefault="004E6969" w:rsidP="00A363E2">
      <w:pPr>
        <w:jc w:val="right"/>
        <w:rPr>
          <w:rFonts w:ascii="標楷體" w:eastAsia="標楷體" w:hAnsi="標楷體" w:cs="新細明體"/>
          <w:kern w:val="0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8pt;margin-top:0;width:371.45pt;height:8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">
            <v:textbox>
              <w:txbxContent>
                <w:p w:rsidR="00944ACB" w:rsidRPr="00291613" w:rsidRDefault="00A363E2" w:rsidP="008D5FF3">
                  <w:pPr>
                    <w:spacing w:line="360" w:lineRule="exact"/>
                    <w:rPr>
                      <w:rFonts w:ascii="標楷體" w:eastAsia="標楷體" w:hAnsi="標楷體" w:cs="新細明體"/>
                      <w:b/>
                      <w:kern w:val="0"/>
                      <w:sz w:val="26"/>
                      <w:szCs w:val="26"/>
                      <w:shd w:val="pct15" w:color="auto" w:fill="FFFFFF"/>
                    </w:rPr>
                  </w:pPr>
                  <w:r w:rsidRPr="00291613"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Cs w:val="24"/>
                      <w:shd w:val="pct15" w:color="auto" w:fill="FFFFFF"/>
                    </w:rPr>
                    <w:t>政策設計基本上是「邏輯問題」與「數學問題」。</w:t>
                  </w:r>
                  <w:r w:rsidR="008D5FF3" w:rsidRPr="00291613"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Cs w:val="24"/>
                      <w:shd w:val="pct15" w:color="auto" w:fill="FFFFFF"/>
                    </w:rPr>
                    <w:t>政策執行面的邏輯架構，與人力、經費等層面的數學架構，應力求設計周全、環環相扣，形成正面效應，避免逆向作用，才能確保制度的可行性與永續性。</w:t>
                  </w:r>
                  <w:r w:rsidR="008D5FF3" w:rsidRPr="00291613">
                    <w:rPr>
                      <w:rFonts w:ascii="標楷體" w:eastAsia="標楷體" w:hAnsi="標楷體" w:cs="新細明體" w:hint="eastAsia"/>
                      <w:b/>
                      <w:kern w:val="0"/>
                      <w:sz w:val="26"/>
                      <w:szCs w:val="26"/>
                      <w:shd w:val="pct15" w:color="auto" w:fill="FFFFFF"/>
                    </w:rPr>
                    <w:t xml:space="preserve">                         </w:t>
                  </w:r>
                </w:p>
                <w:p w:rsidR="008D5FF3" w:rsidRPr="00291613" w:rsidRDefault="008D5FF3" w:rsidP="00BD56F6">
                  <w:pPr>
                    <w:spacing w:line="360" w:lineRule="exact"/>
                    <w:jc w:val="right"/>
                    <w:rPr>
                      <w:rFonts w:ascii="微軟正黑體" w:eastAsia="微軟正黑體" w:hAnsi="微軟正黑體" w:cs="新細明體"/>
                      <w:b/>
                      <w:kern w:val="0"/>
                      <w:szCs w:val="24"/>
                      <w:shd w:val="pct15" w:color="auto" w:fill="FFFFFF"/>
                    </w:rPr>
                  </w:pPr>
                  <w:r w:rsidRPr="00291613"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Cs w:val="24"/>
                      <w:shd w:val="pct15" w:color="auto" w:fill="FFFFFF"/>
                    </w:rPr>
                    <w:t>──托育政策催生聯盟座右銘</w:t>
                  </w:r>
                </w:p>
                <w:p w:rsidR="008D5FF3" w:rsidRPr="008A5BC5" w:rsidRDefault="008D5FF3" w:rsidP="008D5FF3">
                  <w:pPr>
                    <w:spacing w:line="360" w:lineRule="exact"/>
                    <w:rPr>
                      <w:rFonts w:ascii="微軟正黑體" w:eastAsia="微軟正黑體" w:hAnsi="微軟正黑體" w:cs="新細明體"/>
                      <w:kern w:val="0"/>
                      <w:szCs w:val="24"/>
                      <w:shd w:val="pct15" w:color="auto" w:fill="FFFFFF"/>
                    </w:rPr>
                  </w:pPr>
                </w:p>
                <w:p w:rsidR="00A363E2" w:rsidRPr="00BD56F6" w:rsidRDefault="00A363E2" w:rsidP="00BD56F6">
                  <w:pPr>
                    <w:wordWrap w:val="0"/>
                    <w:rPr>
                      <w:rFonts w:ascii="標楷體" w:eastAsia="標楷體" w:hAnsi="標楷體" w:cs="新細明體"/>
                      <w:kern w:val="0"/>
                      <w:sz w:val="26"/>
                      <w:szCs w:val="26"/>
                      <w:shd w:val="pct15" w:color="auto" w:fill="FFFFFF"/>
                    </w:rPr>
                  </w:pPr>
                </w:p>
              </w:txbxContent>
            </v:textbox>
          </v:shape>
        </w:pict>
      </w:r>
    </w:p>
    <w:p w:rsidR="00A363E2" w:rsidRDefault="00A363E2" w:rsidP="00A363E2">
      <w:pPr>
        <w:jc w:val="right"/>
        <w:rPr>
          <w:rFonts w:ascii="標楷體" w:eastAsia="標楷體" w:hAnsi="標楷體" w:cs="新細明體"/>
          <w:kern w:val="0"/>
        </w:rPr>
      </w:pPr>
    </w:p>
    <w:p w:rsidR="00A363E2" w:rsidRDefault="00A363E2" w:rsidP="009E3998"/>
    <w:p w:rsidR="00A363E2" w:rsidRDefault="00A363E2" w:rsidP="009E3998"/>
    <w:p w:rsidR="00A363E2" w:rsidRPr="00A363E2" w:rsidRDefault="00A363E2" w:rsidP="009E3998"/>
    <w:p w:rsidR="0073459B" w:rsidRPr="003856CE" w:rsidRDefault="0073459B" w:rsidP="008D5FF3">
      <w:pPr>
        <w:rPr>
          <w:rFonts w:ascii="標楷體" w:eastAsia="標楷體" w:hAnsi="標楷體"/>
          <w:sz w:val="26"/>
          <w:szCs w:val="26"/>
        </w:rPr>
      </w:pPr>
      <w:r w:rsidRPr="003856CE">
        <w:rPr>
          <w:rFonts w:ascii="標楷體" w:eastAsia="標楷體" w:hAnsi="標楷體" w:hint="eastAsia"/>
          <w:sz w:val="26"/>
          <w:szCs w:val="26"/>
        </w:rPr>
        <w:t xml:space="preserve">　　黃小姐工作多年，</w:t>
      </w:r>
      <w:r w:rsidRPr="003856CE">
        <w:rPr>
          <w:rFonts w:ascii="標楷體" w:eastAsia="標楷體" w:hAnsi="標楷體"/>
          <w:sz w:val="26"/>
          <w:szCs w:val="26"/>
        </w:rPr>
        <w:t>31</w:t>
      </w:r>
      <w:r w:rsidRPr="003856CE">
        <w:rPr>
          <w:rFonts w:ascii="標楷體" w:eastAsia="標楷體" w:hAnsi="標楷體" w:hint="eastAsia"/>
          <w:sz w:val="26"/>
          <w:szCs w:val="26"/>
        </w:rPr>
        <w:t>歲找到了如意郎君。但今年</w:t>
      </w:r>
      <w:r w:rsidRPr="003856CE">
        <w:rPr>
          <w:rFonts w:ascii="標楷體" w:eastAsia="標楷體" w:hAnsi="標楷體"/>
          <w:sz w:val="26"/>
          <w:szCs w:val="26"/>
        </w:rPr>
        <w:t>33</w:t>
      </w:r>
      <w:r w:rsidRPr="003856CE">
        <w:rPr>
          <w:rFonts w:ascii="標楷體" w:eastAsia="標楷體" w:hAnsi="標楷體" w:hint="eastAsia"/>
          <w:sz w:val="26"/>
          <w:szCs w:val="26"/>
        </w:rPr>
        <w:t>歲、懷胎數月的她，正猶豫第一胎出生後要不要辭職。其實，她心裡期待「兩個孩子恰恰好」。若辭職回家專心「做人」，說不定，高齡產婦這兩年仍有機會。</w:t>
      </w:r>
    </w:p>
    <w:p w:rsidR="0073459B" w:rsidRPr="003856CE" w:rsidRDefault="0073459B" w:rsidP="009E3998">
      <w:pPr>
        <w:rPr>
          <w:rFonts w:ascii="標楷體" w:eastAsia="標楷體" w:hAnsi="標楷體"/>
          <w:sz w:val="26"/>
          <w:szCs w:val="26"/>
        </w:rPr>
      </w:pPr>
      <w:r w:rsidRPr="003856CE">
        <w:rPr>
          <w:rFonts w:ascii="標楷體" w:eastAsia="標楷體" w:hAnsi="標楷體" w:hint="eastAsia"/>
          <w:sz w:val="26"/>
          <w:szCs w:val="26"/>
        </w:rPr>
        <w:t xml:space="preserve">　　但生孩子的真正挑戰是家庭經濟。特別是上小學前，托育費用開銷超級貴。繼續工作？薪水一定也是大半繳給保母和幼兒園。</w:t>
      </w:r>
    </w:p>
    <w:p w:rsidR="0073459B" w:rsidRPr="003856CE" w:rsidRDefault="0073459B" w:rsidP="009E3998">
      <w:pPr>
        <w:rPr>
          <w:rFonts w:ascii="標楷體" w:eastAsia="標楷體" w:hAnsi="標楷體"/>
          <w:sz w:val="26"/>
          <w:szCs w:val="26"/>
        </w:rPr>
      </w:pPr>
      <w:r w:rsidRPr="003856CE">
        <w:rPr>
          <w:rFonts w:ascii="標楷體" w:eastAsia="標楷體" w:hAnsi="標楷體" w:hint="eastAsia"/>
          <w:sz w:val="26"/>
          <w:szCs w:val="26"/>
        </w:rPr>
        <w:t xml:space="preserve">　　如果辭職自己帶呢？靠老公的薪水養她和第一胎寶寶，好像勉強。養兩胎？沒有雙份收入是絕無可能！何況老公也是給人請的上班族，又不是董事長，要是受到任何健康或經濟衝擊，就要全家吃老本了，是有一點危險。</w:t>
      </w:r>
    </w:p>
    <w:p w:rsidR="0073459B" w:rsidRPr="00BD56F6" w:rsidRDefault="0073459B" w:rsidP="00BD56F6">
      <w:pPr>
        <w:spacing w:after="240"/>
        <w:rPr>
          <w:rFonts w:ascii="標楷體" w:eastAsia="標楷體" w:hAnsi="標楷體"/>
          <w:sz w:val="26"/>
          <w:szCs w:val="26"/>
        </w:rPr>
      </w:pPr>
      <w:r w:rsidRPr="003856CE">
        <w:rPr>
          <w:rFonts w:ascii="標楷體" w:eastAsia="標楷體" w:hAnsi="標楷體" w:hint="eastAsia"/>
          <w:sz w:val="26"/>
          <w:szCs w:val="26"/>
        </w:rPr>
        <w:t xml:space="preserve">　　想著想著，黃小姐看到了政府的</w:t>
      </w:r>
      <w:r w:rsidRPr="003856CE">
        <w:rPr>
          <w:rFonts w:ascii="標楷體" w:eastAsia="標楷體" w:hAnsi="標楷體" w:hint="eastAsia"/>
          <w:b/>
          <w:sz w:val="26"/>
          <w:szCs w:val="26"/>
        </w:rPr>
        <w:t>「未就業育兒津貼」</w:t>
      </w:r>
      <w:r w:rsidRPr="003856CE">
        <w:rPr>
          <w:rFonts w:ascii="標楷體" w:eastAsia="標楷體" w:hAnsi="標楷體" w:hint="eastAsia"/>
          <w:sz w:val="26"/>
          <w:szCs w:val="26"/>
        </w:rPr>
        <w:t>廣告。條件是，</w:t>
      </w:r>
      <w:r w:rsidRPr="003856CE">
        <w:rPr>
          <w:rFonts w:ascii="標楷體" w:eastAsia="標楷體" w:hAnsi="標楷體" w:hint="eastAsia"/>
          <w:b/>
          <w:sz w:val="26"/>
          <w:szCs w:val="26"/>
        </w:rPr>
        <w:t>只要她辭職回家育兒，小孩滿</w:t>
      </w:r>
      <w:r w:rsidRPr="003856CE">
        <w:rPr>
          <w:rFonts w:ascii="標楷體" w:eastAsia="標楷體" w:hAnsi="標楷體"/>
          <w:b/>
          <w:sz w:val="26"/>
          <w:szCs w:val="26"/>
        </w:rPr>
        <w:t>2</w:t>
      </w:r>
      <w:r w:rsidRPr="003856CE">
        <w:rPr>
          <w:rFonts w:ascii="標楷體" w:eastAsia="標楷體" w:hAnsi="標楷體" w:hint="eastAsia"/>
          <w:b/>
          <w:sz w:val="26"/>
          <w:szCs w:val="26"/>
        </w:rPr>
        <w:t>歲前每個月都可以領</w:t>
      </w:r>
      <w:r w:rsidRPr="003856CE">
        <w:rPr>
          <w:rFonts w:ascii="標楷體" w:eastAsia="標楷體" w:hAnsi="標楷體"/>
          <w:b/>
          <w:sz w:val="26"/>
          <w:szCs w:val="26"/>
        </w:rPr>
        <w:t>2500</w:t>
      </w:r>
      <w:r w:rsidRPr="003856CE">
        <w:rPr>
          <w:rFonts w:ascii="標楷體" w:eastAsia="標楷體" w:hAnsi="標楷體" w:hint="eastAsia"/>
          <w:b/>
          <w:sz w:val="26"/>
          <w:szCs w:val="26"/>
        </w:rPr>
        <w:t>元</w:t>
      </w:r>
      <w:r w:rsidRPr="003856CE">
        <w:rPr>
          <w:rFonts w:ascii="標楷體" w:eastAsia="標楷體" w:hAnsi="標楷體" w:hint="eastAsia"/>
          <w:sz w:val="26"/>
          <w:szCs w:val="26"/>
        </w:rPr>
        <w:t>。她想，既然政府也有鼓勵，是不是鐵了心跟老闆提辭呈？還是先不要想第二胎的事情了……</w:t>
      </w:r>
    </w:p>
    <w:p w:rsidR="0073459B" w:rsidRPr="00A363E2" w:rsidRDefault="0073459B" w:rsidP="009E3998">
      <w:pPr>
        <w:rPr>
          <w:b/>
          <w:sz w:val="28"/>
          <w:szCs w:val="28"/>
        </w:rPr>
      </w:pPr>
      <w:r w:rsidRPr="00A363E2">
        <w:rPr>
          <w:rFonts w:hint="eastAsia"/>
          <w:b/>
          <w:sz w:val="28"/>
          <w:szCs w:val="28"/>
        </w:rPr>
        <w:t>六萬元，斷一生！？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黃小姐的故事，是台灣女性</w:t>
      </w:r>
      <w:r w:rsidR="00E624FF">
        <w:rPr>
          <w:rFonts w:hint="eastAsia"/>
          <w:sz w:val="26"/>
          <w:szCs w:val="26"/>
        </w:rPr>
        <w:t>上班族</w:t>
      </w:r>
      <w:r w:rsidRPr="003856CE">
        <w:rPr>
          <w:rFonts w:hint="eastAsia"/>
          <w:sz w:val="26"/>
          <w:szCs w:val="26"/>
        </w:rPr>
        <w:t>的縮影。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</w:t>
      </w:r>
      <w:r w:rsidRPr="003856CE">
        <w:rPr>
          <w:sz w:val="26"/>
          <w:szCs w:val="26"/>
        </w:rPr>
        <w:t>0-2</w:t>
      </w:r>
      <w:r w:rsidRPr="003856CE">
        <w:rPr>
          <w:rFonts w:hint="eastAsia"/>
          <w:sz w:val="26"/>
          <w:szCs w:val="26"/>
        </w:rPr>
        <w:t>歲幼兒的母親每月可領</w:t>
      </w:r>
      <w:r w:rsidRPr="003856CE">
        <w:rPr>
          <w:sz w:val="26"/>
          <w:szCs w:val="26"/>
        </w:rPr>
        <w:t>2500</w:t>
      </w:r>
      <w:r w:rsidRPr="003856CE">
        <w:rPr>
          <w:rFonts w:hint="eastAsia"/>
          <w:sz w:val="26"/>
          <w:szCs w:val="26"/>
        </w:rPr>
        <w:t>元「未就業育兒津貼」</w:t>
      </w:r>
      <w:r w:rsidR="00E624FF">
        <w:rPr>
          <w:rFonts w:hint="eastAsia"/>
          <w:sz w:val="26"/>
          <w:szCs w:val="26"/>
        </w:rPr>
        <w:t>，兩年不過區區</w:t>
      </w:r>
      <w:r w:rsidR="00E624FF">
        <w:rPr>
          <w:rFonts w:hint="eastAsia"/>
          <w:sz w:val="26"/>
          <w:szCs w:val="26"/>
        </w:rPr>
        <w:t>6</w:t>
      </w:r>
      <w:r w:rsidR="00E624FF">
        <w:rPr>
          <w:rFonts w:hint="eastAsia"/>
          <w:sz w:val="26"/>
          <w:szCs w:val="26"/>
        </w:rPr>
        <w:t>萬元</w:t>
      </w:r>
      <w:r w:rsidRPr="003856CE">
        <w:rPr>
          <w:rFonts w:hint="eastAsia"/>
          <w:sz w:val="26"/>
          <w:szCs w:val="26"/>
        </w:rPr>
        <w:t>，</w:t>
      </w:r>
      <w:r w:rsidR="00E624FF">
        <w:rPr>
          <w:rFonts w:hint="eastAsia"/>
          <w:sz w:val="26"/>
          <w:szCs w:val="26"/>
        </w:rPr>
        <w:t>並不足以讓女人敢生第二胎</w:t>
      </w:r>
      <w:r w:rsidRPr="003856CE">
        <w:rPr>
          <w:rFonts w:hint="eastAsia"/>
          <w:sz w:val="26"/>
          <w:szCs w:val="26"/>
        </w:rPr>
        <w:t>，</w:t>
      </w:r>
      <w:r w:rsidR="00E624FF">
        <w:rPr>
          <w:rFonts w:hint="eastAsia"/>
          <w:sz w:val="26"/>
          <w:szCs w:val="26"/>
        </w:rPr>
        <w:t>卻會誘導她辭職</w:t>
      </w:r>
      <w:r w:rsidRPr="003856CE">
        <w:rPr>
          <w:rFonts w:hint="eastAsia"/>
          <w:sz w:val="26"/>
          <w:szCs w:val="26"/>
        </w:rPr>
        <w:t>。</w:t>
      </w:r>
    </w:p>
    <w:p w:rsidR="00E624FF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根據</w:t>
      </w:r>
      <w:r w:rsidRPr="003856CE">
        <w:rPr>
          <w:sz w:val="26"/>
          <w:szCs w:val="26"/>
        </w:rPr>
        <w:t>2011</w:t>
      </w:r>
      <w:r w:rsidRPr="003856CE">
        <w:rPr>
          <w:rFonts w:hint="eastAsia"/>
          <w:sz w:val="26"/>
          <w:szCs w:val="26"/>
        </w:rPr>
        <w:t>年中央研究院的社會意向調查，大多數適婚年齡男女所期待的生育子女數仍然是</w:t>
      </w:r>
      <w:r w:rsidRPr="003856CE">
        <w:rPr>
          <w:sz w:val="26"/>
          <w:szCs w:val="26"/>
        </w:rPr>
        <w:t>2</w:t>
      </w:r>
      <w:r w:rsidRPr="003856CE">
        <w:rPr>
          <w:rFonts w:hint="eastAsia"/>
          <w:sz w:val="26"/>
          <w:szCs w:val="26"/>
        </w:rPr>
        <w:t>到</w:t>
      </w:r>
      <w:r w:rsidRPr="003856CE">
        <w:rPr>
          <w:sz w:val="26"/>
          <w:szCs w:val="26"/>
        </w:rPr>
        <w:t>3</w:t>
      </w:r>
      <w:r w:rsidRPr="003856CE">
        <w:rPr>
          <w:rFonts w:hint="eastAsia"/>
          <w:sz w:val="26"/>
          <w:szCs w:val="26"/>
        </w:rPr>
        <w:t>個之間。但多年來台灣的總生育率（即每位女性生育</w:t>
      </w:r>
      <w:r w:rsidR="00E624FF">
        <w:rPr>
          <w:rFonts w:hint="eastAsia"/>
          <w:sz w:val="26"/>
          <w:szCs w:val="26"/>
        </w:rPr>
        <w:t>子女</w:t>
      </w:r>
      <w:r w:rsidRPr="003856CE">
        <w:rPr>
          <w:rFonts w:hint="eastAsia"/>
          <w:sz w:val="26"/>
          <w:szCs w:val="26"/>
        </w:rPr>
        <w:t>數），始終</w:t>
      </w:r>
      <w:r w:rsidR="00E624FF" w:rsidRPr="003856CE">
        <w:rPr>
          <w:rFonts w:hint="eastAsia"/>
          <w:sz w:val="26"/>
          <w:szCs w:val="26"/>
        </w:rPr>
        <w:t>徘徊</w:t>
      </w:r>
      <w:r w:rsidRPr="003856CE">
        <w:rPr>
          <w:rFonts w:hint="eastAsia"/>
          <w:sz w:val="26"/>
          <w:szCs w:val="26"/>
        </w:rPr>
        <w:t>在</w:t>
      </w:r>
      <w:r w:rsidRPr="003856CE">
        <w:rPr>
          <w:sz w:val="26"/>
          <w:szCs w:val="26"/>
        </w:rPr>
        <w:t>1</w:t>
      </w:r>
      <w:r w:rsidRPr="003856CE">
        <w:rPr>
          <w:rFonts w:hint="eastAsia"/>
          <w:sz w:val="26"/>
          <w:szCs w:val="26"/>
        </w:rPr>
        <w:t>名上下。</w:t>
      </w:r>
      <w:r w:rsidR="008D5FF3">
        <w:rPr>
          <w:rFonts w:hint="eastAsia"/>
          <w:sz w:val="26"/>
          <w:szCs w:val="26"/>
        </w:rPr>
        <w:t>理想和現實</w:t>
      </w:r>
      <w:r w:rsidR="00E624FF">
        <w:rPr>
          <w:rFonts w:hint="eastAsia"/>
          <w:sz w:val="26"/>
          <w:szCs w:val="26"/>
        </w:rPr>
        <w:t>差距</w:t>
      </w:r>
      <w:r w:rsidR="008D5FF3">
        <w:rPr>
          <w:rFonts w:hint="eastAsia"/>
          <w:sz w:val="26"/>
          <w:szCs w:val="26"/>
        </w:rPr>
        <w:t>為何</w:t>
      </w:r>
      <w:r w:rsidR="00E624FF">
        <w:rPr>
          <w:rFonts w:hint="eastAsia"/>
          <w:sz w:val="26"/>
          <w:szCs w:val="26"/>
        </w:rPr>
        <w:t>這麼大？多年來各項研究調查顯示，主要原因是養育子女的經濟負擔太大。</w:t>
      </w:r>
    </w:p>
    <w:p w:rsidR="0073459B" w:rsidRPr="003856CE" w:rsidRDefault="0073459B" w:rsidP="00BD56F6">
      <w:pPr>
        <w:widowControl/>
        <w:shd w:val="clear" w:color="auto" w:fill="FFFFFF"/>
        <w:spacing w:line="380" w:lineRule="exact"/>
        <w:rPr>
          <w:rFonts w:ascii="Arial" w:hAnsi="Arial" w:cs="Arial"/>
          <w:kern w:val="0"/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</w:t>
      </w:r>
      <w:r w:rsidR="00E624FF">
        <w:rPr>
          <w:rFonts w:hint="eastAsia"/>
          <w:sz w:val="26"/>
          <w:szCs w:val="26"/>
        </w:rPr>
        <w:t>就此而言，顯然每月</w:t>
      </w:r>
      <w:r w:rsidRPr="003856CE">
        <w:rPr>
          <w:rFonts w:ascii="Arial" w:hAnsi="Arial" w:cs="Arial"/>
          <w:kern w:val="0"/>
          <w:sz w:val="26"/>
          <w:szCs w:val="26"/>
        </w:rPr>
        <w:t>2500</w:t>
      </w:r>
      <w:r w:rsidRPr="003856CE">
        <w:rPr>
          <w:rFonts w:ascii="Arial" w:hAnsi="Arial" w:cs="Arial" w:hint="eastAsia"/>
          <w:kern w:val="0"/>
          <w:sz w:val="26"/>
          <w:szCs w:val="26"/>
        </w:rPr>
        <w:t>元補助的意義很小，最好靠雙份收入才不會拖垮家庭經濟。但</w:t>
      </w:r>
      <w:r w:rsidR="00E624FF">
        <w:rPr>
          <w:rFonts w:ascii="Arial" w:hAnsi="Arial" w:cs="Arial" w:hint="eastAsia"/>
          <w:kern w:val="0"/>
          <w:sz w:val="26"/>
          <w:szCs w:val="26"/>
        </w:rPr>
        <w:t>若</w:t>
      </w:r>
      <w:r w:rsidR="00944ACB">
        <w:rPr>
          <w:rFonts w:ascii="Arial" w:hAnsi="Arial" w:cs="Arial" w:hint="eastAsia"/>
          <w:kern w:val="0"/>
          <w:sz w:val="26"/>
          <w:szCs w:val="26"/>
        </w:rPr>
        <w:t>由母親</w:t>
      </w:r>
      <w:r w:rsidR="00E624FF">
        <w:rPr>
          <w:rFonts w:ascii="Arial" w:hAnsi="Arial" w:cs="Arial" w:hint="eastAsia"/>
          <w:kern w:val="0"/>
          <w:sz w:val="26"/>
          <w:szCs w:val="26"/>
        </w:rPr>
        <w:t>自行育兒，</w:t>
      </w:r>
      <w:r w:rsidRPr="003856CE">
        <w:rPr>
          <w:rFonts w:ascii="Arial" w:hAnsi="Arial" w:cs="Arial" w:hint="eastAsia"/>
          <w:kern w:val="0"/>
          <w:sz w:val="26"/>
          <w:szCs w:val="26"/>
        </w:rPr>
        <w:t>生一胎</w:t>
      </w:r>
      <w:r w:rsidR="00E624FF">
        <w:rPr>
          <w:rFonts w:ascii="Arial" w:hAnsi="Arial" w:cs="Arial" w:hint="eastAsia"/>
          <w:kern w:val="0"/>
          <w:sz w:val="26"/>
          <w:szCs w:val="26"/>
        </w:rPr>
        <w:t>得</w:t>
      </w:r>
      <w:r w:rsidRPr="003856CE">
        <w:rPr>
          <w:rFonts w:ascii="Arial" w:hAnsi="Arial" w:cs="Arial" w:hint="eastAsia"/>
          <w:kern w:val="0"/>
          <w:sz w:val="26"/>
          <w:szCs w:val="26"/>
        </w:rPr>
        <w:t>離開職場</w:t>
      </w:r>
      <w:r w:rsidRPr="003856CE">
        <w:rPr>
          <w:rFonts w:ascii="Arial" w:hAnsi="Arial" w:cs="Arial"/>
          <w:kern w:val="0"/>
          <w:sz w:val="26"/>
          <w:szCs w:val="26"/>
        </w:rPr>
        <w:t>2-3</w:t>
      </w:r>
      <w:r w:rsidRPr="003856CE">
        <w:rPr>
          <w:rFonts w:ascii="Arial" w:hAnsi="Arial" w:cs="Arial" w:hint="eastAsia"/>
          <w:kern w:val="0"/>
          <w:sz w:val="26"/>
          <w:szCs w:val="26"/>
        </w:rPr>
        <w:t>年，生兩胎</w:t>
      </w:r>
      <w:r w:rsidR="00944ACB">
        <w:rPr>
          <w:rFonts w:ascii="Arial" w:hAnsi="Arial" w:cs="Arial" w:hint="eastAsia"/>
          <w:kern w:val="0"/>
          <w:sz w:val="26"/>
          <w:szCs w:val="26"/>
        </w:rPr>
        <w:t>大約</w:t>
      </w:r>
      <w:r w:rsidRPr="003856CE">
        <w:rPr>
          <w:rFonts w:ascii="Arial" w:hAnsi="Arial" w:cs="Arial"/>
          <w:kern w:val="0"/>
          <w:sz w:val="26"/>
          <w:szCs w:val="26"/>
        </w:rPr>
        <w:t>4-6</w:t>
      </w:r>
      <w:r w:rsidRPr="003856CE">
        <w:rPr>
          <w:rFonts w:ascii="Arial" w:hAnsi="Arial" w:cs="Arial" w:hint="eastAsia"/>
          <w:kern w:val="0"/>
          <w:sz w:val="26"/>
          <w:szCs w:val="26"/>
        </w:rPr>
        <w:t>年</w:t>
      </w:r>
      <w:r w:rsidR="00E624FF">
        <w:rPr>
          <w:rFonts w:ascii="Arial" w:hAnsi="Arial" w:cs="Arial" w:hint="eastAsia"/>
          <w:kern w:val="0"/>
          <w:sz w:val="26"/>
          <w:szCs w:val="26"/>
        </w:rPr>
        <w:t>，</w:t>
      </w:r>
      <w:r w:rsidRPr="003856CE">
        <w:rPr>
          <w:rFonts w:ascii="Arial" w:hAnsi="Arial" w:cs="Arial" w:hint="eastAsia"/>
          <w:kern w:val="0"/>
          <w:sz w:val="26"/>
          <w:szCs w:val="26"/>
        </w:rPr>
        <w:t>職涯從此跟我說</w:t>
      </w:r>
      <w:r w:rsidRPr="003856CE">
        <w:rPr>
          <w:rFonts w:ascii="Arial" w:hAnsi="Arial" w:cs="Arial"/>
          <w:kern w:val="0"/>
          <w:sz w:val="26"/>
          <w:szCs w:val="26"/>
        </w:rPr>
        <w:t>BYE-BYE</w:t>
      </w:r>
      <w:r w:rsidR="00E624FF">
        <w:rPr>
          <w:rFonts w:ascii="Arial" w:hAnsi="Arial" w:cs="Arial" w:hint="eastAsia"/>
          <w:kern w:val="0"/>
          <w:sz w:val="26"/>
          <w:szCs w:val="26"/>
        </w:rPr>
        <w:t>。</w:t>
      </w:r>
    </w:p>
    <w:p w:rsidR="0073459B" w:rsidRPr="003856CE" w:rsidRDefault="0073459B" w:rsidP="00BD56F6">
      <w:pPr>
        <w:widowControl/>
        <w:shd w:val="clear" w:color="auto" w:fill="FFFFFF"/>
        <w:spacing w:line="380" w:lineRule="exact"/>
        <w:rPr>
          <w:sz w:val="26"/>
          <w:szCs w:val="26"/>
        </w:rPr>
      </w:pPr>
      <w:r w:rsidRPr="003856CE">
        <w:rPr>
          <w:rFonts w:ascii="Arial" w:hAnsi="Arial" w:cs="Arial" w:hint="eastAsia"/>
          <w:kern w:val="0"/>
          <w:sz w:val="26"/>
          <w:szCs w:val="26"/>
        </w:rPr>
        <w:t xml:space="preserve">　　</w:t>
      </w:r>
      <w:r w:rsidRPr="003856CE">
        <w:rPr>
          <w:rFonts w:hint="eastAsia"/>
          <w:sz w:val="26"/>
          <w:szCs w:val="26"/>
        </w:rPr>
        <w:t>迫於現實，想生育的台灣女性只好「辭職自帶、但只生一個」。</w:t>
      </w:r>
      <w:r w:rsidR="00E624FF">
        <w:rPr>
          <w:rFonts w:hint="eastAsia"/>
          <w:sz w:val="26"/>
          <w:szCs w:val="26"/>
        </w:rPr>
        <w:t>影響所及，不僅</w:t>
      </w:r>
      <w:r w:rsidRPr="003856CE">
        <w:rPr>
          <w:rFonts w:ascii="Arial" w:hAnsi="Arial" w:cs="Arial" w:hint="eastAsia"/>
          <w:kern w:val="0"/>
          <w:sz w:val="26"/>
          <w:szCs w:val="26"/>
        </w:rPr>
        <w:t>生育</w:t>
      </w:r>
      <w:r w:rsidR="00E624FF">
        <w:rPr>
          <w:rFonts w:ascii="Arial" w:hAnsi="Arial" w:cs="Arial" w:hint="eastAsia"/>
          <w:kern w:val="0"/>
          <w:sz w:val="26"/>
          <w:szCs w:val="26"/>
        </w:rPr>
        <w:t>率</w:t>
      </w:r>
      <w:r w:rsidRPr="003856CE">
        <w:rPr>
          <w:rFonts w:ascii="Arial" w:hAnsi="Arial" w:cs="Arial" w:hint="eastAsia"/>
          <w:kern w:val="0"/>
          <w:sz w:val="26"/>
          <w:szCs w:val="26"/>
        </w:rPr>
        <w:t>「半折子數」</w:t>
      </w:r>
      <w:r w:rsidR="004705DD">
        <w:rPr>
          <w:rFonts w:ascii="Arial" w:hAnsi="Arial" w:cs="Arial" w:hint="eastAsia"/>
          <w:kern w:val="0"/>
          <w:sz w:val="26"/>
          <w:szCs w:val="26"/>
        </w:rPr>
        <w:t>、</w:t>
      </w:r>
      <w:r w:rsidRPr="003856CE">
        <w:rPr>
          <w:rFonts w:ascii="Arial" w:hAnsi="Arial" w:cs="Arial" w:hint="eastAsia"/>
          <w:kern w:val="0"/>
          <w:sz w:val="26"/>
          <w:szCs w:val="26"/>
        </w:rPr>
        <w:t>人口斷崖就此形成</w:t>
      </w:r>
      <w:r w:rsidR="00E624FF">
        <w:rPr>
          <w:rFonts w:ascii="Arial" w:hAnsi="Arial" w:cs="Arial" w:hint="eastAsia"/>
          <w:kern w:val="0"/>
          <w:sz w:val="26"/>
          <w:szCs w:val="26"/>
        </w:rPr>
        <w:t>，</w:t>
      </w:r>
      <w:r w:rsidR="00944ACB">
        <w:rPr>
          <w:rFonts w:ascii="Arial" w:hAnsi="Arial" w:cs="Arial" w:hint="eastAsia"/>
          <w:kern w:val="0"/>
          <w:sz w:val="26"/>
          <w:szCs w:val="26"/>
        </w:rPr>
        <w:t>而且</w:t>
      </w:r>
      <w:r w:rsidR="00E624FF">
        <w:rPr>
          <w:rFonts w:ascii="Arial" w:hAnsi="Arial" w:cs="Arial" w:hint="eastAsia"/>
          <w:kern w:val="0"/>
          <w:sz w:val="26"/>
          <w:szCs w:val="26"/>
        </w:rPr>
        <w:t>女性照樣回不去職場</w:t>
      </w:r>
      <w:r w:rsidRPr="003856CE">
        <w:rPr>
          <w:rFonts w:ascii="Arial" w:hAnsi="Arial" w:cs="Arial" w:hint="eastAsia"/>
          <w:kern w:val="0"/>
          <w:sz w:val="26"/>
          <w:szCs w:val="26"/>
        </w:rPr>
        <w:t>。</w:t>
      </w:r>
      <w:r w:rsidR="009C468C">
        <w:rPr>
          <w:rFonts w:ascii="Arial" w:hAnsi="Arial" w:cs="Arial" w:hint="eastAsia"/>
          <w:kern w:val="0"/>
          <w:sz w:val="26"/>
          <w:szCs w:val="26"/>
        </w:rPr>
        <w:t>如此造成我國「生育率與女性就業率雙低」的困境。</w:t>
      </w:r>
    </w:p>
    <w:p w:rsidR="0073459B" w:rsidRDefault="0073459B" w:rsidP="00BD56F6">
      <w:pPr>
        <w:widowControl/>
        <w:shd w:val="clear" w:color="auto" w:fill="FFFFFF"/>
        <w:spacing w:line="380" w:lineRule="exact"/>
        <w:rPr>
          <w:sz w:val="26"/>
          <w:szCs w:val="26"/>
        </w:rPr>
      </w:pPr>
      <w:r w:rsidRPr="003856CE">
        <w:rPr>
          <w:rFonts w:ascii="Arial" w:hAnsi="Arial" w:cs="Arial" w:hint="eastAsia"/>
          <w:kern w:val="0"/>
          <w:sz w:val="26"/>
          <w:szCs w:val="26"/>
        </w:rPr>
        <w:t xml:space="preserve">　　這不是女人的錯。</w:t>
      </w:r>
      <w:r w:rsidRPr="003856CE">
        <w:rPr>
          <w:rFonts w:hint="eastAsia"/>
          <w:sz w:val="26"/>
          <w:szCs w:val="26"/>
        </w:rPr>
        <w:t>婦女想要重返職場二度就業並不容易，更麻煩的是，</w:t>
      </w:r>
      <w:r w:rsidR="009C468C">
        <w:rPr>
          <w:rFonts w:ascii="Arial" w:hAnsi="Arial" w:cs="Arial" w:hint="eastAsia"/>
          <w:kern w:val="0"/>
          <w:sz w:val="26"/>
          <w:szCs w:val="26"/>
        </w:rPr>
        <w:t>由於</w:t>
      </w:r>
      <w:r w:rsidRPr="003856CE">
        <w:rPr>
          <w:rFonts w:ascii="Arial" w:hAnsi="Arial" w:cs="Arial" w:hint="eastAsia"/>
          <w:kern w:val="0"/>
          <w:sz w:val="26"/>
          <w:szCs w:val="26"/>
        </w:rPr>
        <w:t>低薪化及高齡化（女性平均餘命</w:t>
      </w:r>
      <w:r w:rsidRPr="003856CE">
        <w:rPr>
          <w:rFonts w:ascii="Arial" w:hAnsi="Arial" w:cs="Arial"/>
          <w:kern w:val="0"/>
          <w:sz w:val="26"/>
          <w:szCs w:val="26"/>
        </w:rPr>
        <w:t>83</w:t>
      </w:r>
      <w:r w:rsidRPr="003856CE">
        <w:rPr>
          <w:rFonts w:ascii="Arial" w:hAnsi="Arial" w:cs="Arial" w:hint="eastAsia"/>
          <w:kern w:val="0"/>
          <w:sz w:val="26"/>
          <w:szCs w:val="26"/>
        </w:rPr>
        <w:t>歲！），多數女人若無法持續工作，</w:t>
      </w:r>
      <w:r w:rsidRPr="003856CE">
        <w:rPr>
          <w:rFonts w:ascii="Arial" w:hAnsi="Arial" w:cs="Arial" w:hint="eastAsia"/>
          <w:kern w:val="0"/>
          <w:sz w:val="26"/>
          <w:szCs w:val="26"/>
        </w:rPr>
        <w:lastRenderedPageBreak/>
        <w:t>貧窮恐</w:t>
      </w:r>
      <w:r w:rsidR="009C468C">
        <w:rPr>
          <w:rFonts w:ascii="Arial" w:hAnsi="Arial" w:cs="Arial" w:hint="eastAsia"/>
          <w:kern w:val="0"/>
          <w:sz w:val="26"/>
          <w:szCs w:val="26"/>
        </w:rPr>
        <w:t>將</w:t>
      </w:r>
      <w:r w:rsidRPr="003856CE">
        <w:rPr>
          <w:rFonts w:ascii="Arial" w:hAnsi="Arial" w:cs="Arial" w:hint="eastAsia"/>
          <w:kern w:val="0"/>
          <w:sz w:val="26"/>
          <w:szCs w:val="26"/>
        </w:rPr>
        <w:t>如影隨形。怎能為了六萬元就脫離就業市場？豈不是</w:t>
      </w:r>
      <w:r w:rsidRPr="003856CE">
        <w:rPr>
          <w:rFonts w:hint="eastAsia"/>
          <w:sz w:val="26"/>
          <w:szCs w:val="26"/>
        </w:rPr>
        <w:t>斷送了一生的經濟安全？</w:t>
      </w:r>
    </w:p>
    <w:p w:rsidR="00BD56F6" w:rsidRPr="003856CE" w:rsidRDefault="00BD56F6" w:rsidP="00BD56F6">
      <w:pPr>
        <w:widowControl/>
        <w:shd w:val="clear" w:color="auto" w:fill="FFFFFF"/>
        <w:spacing w:line="380" w:lineRule="exact"/>
        <w:rPr>
          <w:rFonts w:ascii="Arial" w:hAnsi="Arial" w:cs="Arial"/>
          <w:kern w:val="0"/>
          <w:sz w:val="26"/>
          <w:szCs w:val="26"/>
        </w:rPr>
      </w:pPr>
    </w:p>
    <w:p w:rsidR="0073459B" w:rsidRPr="003856CE" w:rsidRDefault="0073459B" w:rsidP="00BD56F6">
      <w:pPr>
        <w:spacing w:after="240" w:line="380" w:lineRule="exact"/>
        <w:rPr>
          <w:b/>
          <w:sz w:val="28"/>
          <w:szCs w:val="28"/>
        </w:rPr>
      </w:pPr>
      <w:r w:rsidRPr="003856CE">
        <w:rPr>
          <w:rFonts w:hint="eastAsia"/>
          <w:b/>
          <w:sz w:val="28"/>
          <w:szCs w:val="28"/>
        </w:rPr>
        <w:t>瑞典、俄羅斯鼓勵生育成功，台灣破功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台灣政策不思改變此一困境，結果就是生育率並無起色。反觀瑞典、俄羅斯兩大生育率回升國</w:t>
      </w:r>
      <w:r w:rsidR="009C468C">
        <w:rPr>
          <w:rFonts w:hint="eastAsia"/>
          <w:sz w:val="26"/>
          <w:szCs w:val="26"/>
        </w:rPr>
        <w:t>──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瑞典，長久以來就給育兒家庭慷慨的福利，</w:t>
      </w:r>
      <w:r w:rsidRPr="003856CE" w:rsidDel="00B233B0">
        <w:rPr>
          <w:sz w:val="26"/>
          <w:szCs w:val="26"/>
        </w:rPr>
        <w:t xml:space="preserve"> </w:t>
      </w:r>
      <w:r w:rsidRPr="003856CE">
        <w:rPr>
          <w:sz w:val="26"/>
          <w:szCs w:val="26"/>
        </w:rPr>
        <w:t>1960</w:t>
      </w:r>
      <w:r w:rsidRPr="003856CE">
        <w:rPr>
          <w:rFonts w:hint="eastAsia"/>
          <w:sz w:val="26"/>
          <w:szCs w:val="26"/>
        </w:rPr>
        <w:t>年代就有公共托育，是實現「工作與家庭平衡」、使女性「兼顧就業與育兒」的典型國家。知名政策學者</w:t>
      </w:r>
      <w:r w:rsidRPr="003856CE">
        <w:rPr>
          <w:sz w:val="26"/>
          <w:szCs w:val="26"/>
        </w:rPr>
        <w:t>Esping-Andersen</w:t>
      </w:r>
      <w:r w:rsidRPr="003856CE">
        <w:rPr>
          <w:rFonts w:hint="eastAsia"/>
          <w:sz w:val="26"/>
          <w:szCs w:val="26"/>
        </w:rPr>
        <w:t>明白分析，瑞典成功的關鍵，是他們的普及公共托育制度，讓家庭放心生、開心養。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俄羅斯，</w:t>
      </w:r>
      <w:r w:rsidRPr="003856CE">
        <w:rPr>
          <w:sz w:val="26"/>
          <w:szCs w:val="26"/>
        </w:rPr>
        <w:t>2006</w:t>
      </w:r>
      <w:r w:rsidRPr="003856CE">
        <w:rPr>
          <w:rFonts w:hint="eastAsia"/>
          <w:sz w:val="26"/>
          <w:szCs w:val="26"/>
        </w:rPr>
        <w:t>年在普丁總統主導下，對生育提供巨額補助（約當美金一萬元，若乘以台灣和俄羅斯國民所得差距，大約等於五十萬台幣），但只是針對生「第二胎」者</w:t>
      </w:r>
      <w:r w:rsidR="009C468C">
        <w:rPr>
          <w:rFonts w:hint="eastAsia"/>
          <w:sz w:val="26"/>
          <w:szCs w:val="26"/>
        </w:rPr>
        <w:t>（未限定未就業）</w:t>
      </w:r>
      <w:r w:rsidRPr="003856CE">
        <w:rPr>
          <w:rFonts w:hint="eastAsia"/>
          <w:sz w:val="26"/>
          <w:szCs w:val="26"/>
        </w:rPr>
        <w:t>、且孩子滿三歲才能領取，</w:t>
      </w:r>
      <w:r w:rsidR="005B5472">
        <w:rPr>
          <w:rFonts w:hint="eastAsia"/>
          <w:sz w:val="26"/>
          <w:szCs w:val="26"/>
        </w:rPr>
        <w:t>發揮了提振生育率但不降低女性就業率的效果。但是，這項政策得</w:t>
      </w:r>
      <w:r w:rsidRPr="003856CE">
        <w:rPr>
          <w:rFonts w:hint="eastAsia"/>
          <w:sz w:val="26"/>
          <w:szCs w:val="26"/>
        </w:rPr>
        <w:t>年年砸大錢。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至於台灣，根據戶政司的人口統計，發放未就業育兒津貼的當年小孩變多，不過是曇花一現。說穿了，這其實是「龍年效應」，而不是政策</w:t>
      </w:r>
      <w:r w:rsidR="001441BE">
        <w:rPr>
          <w:rFonts w:hint="eastAsia"/>
          <w:sz w:val="26"/>
          <w:szCs w:val="26"/>
        </w:rPr>
        <w:t>效應</w:t>
      </w:r>
      <w:r w:rsidRPr="003856CE">
        <w:rPr>
          <w:rFonts w:hint="eastAsia"/>
          <w:sz w:val="26"/>
          <w:szCs w:val="26"/>
        </w:rPr>
        <w:t>。蛇年</w:t>
      </w:r>
      <w:r w:rsidR="001441BE">
        <w:rPr>
          <w:rFonts w:hint="eastAsia"/>
          <w:sz w:val="26"/>
          <w:szCs w:val="26"/>
        </w:rPr>
        <w:t>（</w:t>
      </w:r>
      <w:r w:rsidR="001441BE">
        <w:rPr>
          <w:rFonts w:hint="eastAsia"/>
          <w:sz w:val="26"/>
          <w:szCs w:val="26"/>
        </w:rPr>
        <w:t>102</w:t>
      </w:r>
      <w:r w:rsidR="001441BE">
        <w:rPr>
          <w:rFonts w:hint="eastAsia"/>
          <w:sz w:val="26"/>
          <w:szCs w:val="26"/>
        </w:rPr>
        <w:t>年</w:t>
      </w:r>
      <w:r w:rsidR="001441BE">
        <w:rPr>
          <w:rFonts w:hint="eastAsia"/>
          <w:sz w:val="26"/>
          <w:szCs w:val="26"/>
        </w:rPr>
        <w:t>2</w:t>
      </w:r>
      <w:r w:rsidR="001441BE">
        <w:rPr>
          <w:rFonts w:hint="eastAsia"/>
          <w:sz w:val="26"/>
          <w:szCs w:val="26"/>
        </w:rPr>
        <w:t>月起）</w:t>
      </w:r>
      <w:r w:rsidRPr="003856CE">
        <w:rPr>
          <w:sz w:val="26"/>
          <w:szCs w:val="26"/>
        </w:rPr>
        <w:t>2</w:t>
      </w:r>
      <w:r w:rsidRPr="0077694F">
        <w:rPr>
          <w:sz w:val="26"/>
          <w:szCs w:val="26"/>
        </w:rPr>
        <w:t>-</w:t>
      </w:r>
      <w:r w:rsidR="0077694F" w:rsidRPr="0077694F">
        <w:rPr>
          <w:rFonts w:hint="eastAsia"/>
          <w:sz w:val="26"/>
          <w:szCs w:val="26"/>
        </w:rPr>
        <w:t>9</w:t>
      </w:r>
      <w:r w:rsidRPr="003856CE">
        <w:rPr>
          <w:rFonts w:hint="eastAsia"/>
          <w:sz w:val="26"/>
          <w:szCs w:val="26"/>
        </w:rPr>
        <w:t>月嬰幼兒出生數</w:t>
      </w:r>
      <w:r w:rsidR="001441BE">
        <w:rPr>
          <w:rFonts w:hint="eastAsia"/>
          <w:sz w:val="26"/>
          <w:szCs w:val="26"/>
        </w:rPr>
        <w:t>（</w:t>
      </w:r>
      <w:r w:rsidR="00345907" w:rsidDel="00F45CC6">
        <w:rPr>
          <w:rFonts w:hint="eastAsia"/>
          <w:color w:val="FF0000"/>
          <w:sz w:val="26"/>
          <w:szCs w:val="26"/>
        </w:rPr>
        <w:t xml:space="preserve"> </w:t>
      </w:r>
      <w:r w:rsidR="00345907" w:rsidRPr="00345907">
        <w:rPr>
          <w:rFonts w:hint="eastAsia"/>
          <w:sz w:val="26"/>
          <w:szCs w:val="26"/>
        </w:rPr>
        <w:t xml:space="preserve"> </w:t>
      </w:r>
      <w:r w:rsidR="00345907">
        <w:rPr>
          <w:rFonts w:hint="eastAsia"/>
          <w:sz w:val="26"/>
          <w:szCs w:val="26"/>
        </w:rPr>
        <w:t>125,527</w:t>
      </w:r>
      <w:r w:rsidR="005C69C9">
        <w:rPr>
          <w:rFonts w:hint="eastAsia"/>
          <w:sz w:val="26"/>
          <w:szCs w:val="26"/>
        </w:rPr>
        <w:t>人</w:t>
      </w:r>
      <w:r w:rsidR="001441BE" w:rsidRPr="001441BE">
        <w:rPr>
          <w:rFonts w:hint="eastAsia"/>
          <w:sz w:val="26"/>
          <w:szCs w:val="26"/>
        </w:rPr>
        <w:t>）</w:t>
      </w:r>
      <w:r w:rsidRPr="003856CE">
        <w:rPr>
          <w:rFonts w:hint="eastAsia"/>
          <w:sz w:val="26"/>
          <w:szCs w:val="26"/>
        </w:rPr>
        <w:t>，與龍年</w:t>
      </w:r>
      <w:r w:rsidR="001441BE">
        <w:rPr>
          <w:rFonts w:hint="eastAsia"/>
          <w:sz w:val="26"/>
          <w:szCs w:val="26"/>
        </w:rPr>
        <w:t>（</w:t>
      </w:r>
      <w:r w:rsidR="001441BE">
        <w:rPr>
          <w:rFonts w:hint="eastAsia"/>
          <w:sz w:val="26"/>
          <w:szCs w:val="26"/>
        </w:rPr>
        <w:t>101</w:t>
      </w:r>
      <w:r w:rsidR="001441BE">
        <w:rPr>
          <w:rFonts w:hint="eastAsia"/>
          <w:sz w:val="26"/>
          <w:szCs w:val="26"/>
        </w:rPr>
        <w:t>年）</w:t>
      </w:r>
      <w:r w:rsidRPr="003856CE">
        <w:rPr>
          <w:rFonts w:hint="eastAsia"/>
          <w:sz w:val="26"/>
          <w:szCs w:val="26"/>
        </w:rPr>
        <w:t>同期</w:t>
      </w:r>
      <w:r w:rsidR="001441BE">
        <w:rPr>
          <w:rFonts w:hint="eastAsia"/>
          <w:sz w:val="26"/>
          <w:szCs w:val="26"/>
        </w:rPr>
        <w:t>（</w:t>
      </w:r>
      <w:r w:rsidR="00F45CC6" w:rsidRPr="009525CF">
        <w:rPr>
          <w:rFonts w:hint="eastAsia"/>
          <w:sz w:val="26"/>
          <w:szCs w:val="26"/>
        </w:rPr>
        <w:t>147,632</w:t>
      </w:r>
      <w:r w:rsidR="005C69C9" w:rsidRPr="009525CF">
        <w:rPr>
          <w:rFonts w:hint="eastAsia"/>
          <w:sz w:val="26"/>
          <w:szCs w:val="26"/>
        </w:rPr>
        <w:t>人</w:t>
      </w:r>
      <w:r w:rsidR="001441BE">
        <w:rPr>
          <w:rFonts w:hint="eastAsia"/>
          <w:sz w:val="26"/>
          <w:szCs w:val="26"/>
        </w:rPr>
        <w:t>）</w:t>
      </w:r>
      <w:r w:rsidRPr="003856CE">
        <w:rPr>
          <w:rFonts w:hint="eastAsia"/>
          <w:sz w:val="26"/>
          <w:szCs w:val="26"/>
        </w:rPr>
        <w:t>相比已經驟減</w:t>
      </w:r>
      <w:r w:rsidRPr="003856CE">
        <w:rPr>
          <w:sz w:val="26"/>
          <w:szCs w:val="26"/>
        </w:rPr>
        <w:t>15%</w:t>
      </w:r>
      <w:r w:rsidRPr="003856CE">
        <w:rPr>
          <w:rFonts w:hint="eastAsia"/>
          <w:sz w:val="26"/>
          <w:szCs w:val="26"/>
        </w:rPr>
        <w:t>，</w:t>
      </w:r>
      <w:r w:rsidR="005C69C9">
        <w:rPr>
          <w:rFonts w:hint="eastAsia"/>
          <w:sz w:val="26"/>
          <w:szCs w:val="26"/>
        </w:rPr>
        <w:t>甚至低於</w:t>
      </w:r>
      <w:r w:rsidRPr="003856CE">
        <w:rPr>
          <w:rFonts w:hint="eastAsia"/>
          <w:sz w:val="26"/>
          <w:szCs w:val="26"/>
        </w:rPr>
        <w:t>兔年</w:t>
      </w:r>
      <w:r w:rsidR="0077694F">
        <w:rPr>
          <w:rFonts w:hint="eastAsia"/>
          <w:sz w:val="26"/>
          <w:szCs w:val="26"/>
        </w:rPr>
        <w:t>（</w:t>
      </w:r>
      <w:r w:rsidR="0077694F">
        <w:rPr>
          <w:rFonts w:hint="eastAsia"/>
          <w:sz w:val="26"/>
          <w:szCs w:val="26"/>
        </w:rPr>
        <w:t>100</w:t>
      </w:r>
      <w:r w:rsidR="0077694F">
        <w:rPr>
          <w:rFonts w:hint="eastAsia"/>
          <w:sz w:val="26"/>
          <w:szCs w:val="26"/>
        </w:rPr>
        <w:t>年，</w:t>
      </w:r>
      <w:r w:rsidR="00F45CC6" w:rsidRPr="009525CF">
        <w:rPr>
          <w:rFonts w:hint="eastAsia"/>
          <w:sz w:val="26"/>
          <w:szCs w:val="26"/>
        </w:rPr>
        <w:t>127,642</w:t>
      </w:r>
      <w:r w:rsidR="005C69C9" w:rsidRPr="009525CF">
        <w:rPr>
          <w:rFonts w:hint="eastAsia"/>
          <w:sz w:val="26"/>
          <w:szCs w:val="26"/>
        </w:rPr>
        <w:t>人</w:t>
      </w:r>
      <w:r w:rsidR="0077694F">
        <w:rPr>
          <w:rFonts w:hint="eastAsia"/>
          <w:color w:val="FF0000"/>
          <w:sz w:val="26"/>
          <w:szCs w:val="26"/>
        </w:rPr>
        <w:t>）</w:t>
      </w:r>
      <w:r w:rsidRPr="003856CE">
        <w:rPr>
          <w:rFonts w:hint="eastAsia"/>
          <w:sz w:val="26"/>
          <w:szCs w:val="26"/>
        </w:rPr>
        <w:t>水準。未就業育兒津貼官方文件，自己也尷尬承認：「</w:t>
      </w:r>
      <w:r w:rsidRPr="003856CE">
        <w:rPr>
          <w:rFonts w:ascii="標楷體" w:eastAsia="標楷體" w:hAnsi="標楷體" w:hint="eastAsia"/>
          <w:sz w:val="26"/>
          <w:szCs w:val="26"/>
        </w:rPr>
        <w:t>養育孩子長成需花費相當心力及財力，而每月</w:t>
      </w:r>
      <w:r w:rsidRPr="003856CE">
        <w:rPr>
          <w:rFonts w:ascii="標楷體" w:eastAsia="標楷體" w:hAnsi="標楷體"/>
          <w:sz w:val="26"/>
          <w:szCs w:val="26"/>
        </w:rPr>
        <w:t>2,500</w:t>
      </w:r>
      <w:r w:rsidRPr="003856CE">
        <w:rPr>
          <w:rFonts w:ascii="標楷體" w:eastAsia="標楷體" w:hAnsi="標楷體" w:hint="eastAsia"/>
          <w:sz w:val="26"/>
          <w:szCs w:val="26"/>
        </w:rPr>
        <w:t>……又限於</w:t>
      </w:r>
      <w:r w:rsidRPr="003856CE">
        <w:rPr>
          <w:rFonts w:ascii="標楷體" w:eastAsia="標楷體" w:hAnsi="標楷體"/>
          <w:sz w:val="26"/>
          <w:szCs w:val="26"/>
        </w:rPr>
        <w:t>2</w:t>
      </w:r>
      <w:r w:rsidRPr="003856CE">
        <w:rPr>
          <w:rFonts w:ascii="標楷體" w:eastAsia="標楷體" w:hAnsi="標楷體" w:hint="eastAsia"/>
          <w:sz w:val="26"/>
          <w:szCs w:val="26"/>
        </w:rPr>
        <w:t>足歲以下兒童，對於營造有利生養環境之目標達成，有其限制。</w:t>
      </w:r>
      <w:r w:rsidRPr="003856CE">
        <w:rPr>
          <w:rFonts w:hint="eastAsia"/>
          <w:sz w:val="26"/>
          <w:szCs w:val="26"/>
        </w:rPr>
        <w:t>」</w:t>
      </w:r>
    </w:p>
    <w:p w:rsidR="0073459B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此一「宣示意義」大於「實質意義」的政策，其催生效果如今已證實破功。</w:t>
      </w:r>
      <w:r w:rsidRPr="003856CE">
        <w:rPr>
          <w:sz w:val="26"/>
          <w:szCs w:val="26"/>
        </w:rPr>
        <w:t>2012</w:t>
      </w:r>
      <w:r w:rsidRPr="003856CE">
        <w:rPr>
          <w:rFonts w:hint="eastAsia"/>
          <w:sz w:val="26"/>
          <w:szCs w:val="26"/>
        </w:rPr>
        <w:t>年總生育率，瑞典</w:t>
      </w:r>
      <w:r w:rsidRPr="003856CE">
        <w:rPr>
          <w:sz w:val="26"/>
          <w:szCs w:val="26"/>
        </w:rPr>
        <w:t>1.9</w:t>
      </w:r>
      <w:r w:rsidRPr="003856CE">
        <w:rPr>
          <w:rFonts w:hint="eastAsia"/>
          <w:sz w:val="26"/>
          <w:szCs w:val="26"/>
        </w:rPr>
        <w:t>、俄羅斯</w:t>
      </w:r>
      <w:r w:rsidRPr="003856CE">
        <w:rPr>
          <w:sz w:val="26"/>
          <w:szCs w:val="26"/>
        </w:rPr>
        <w:t>1.6</w:t>
      </w:r>
      <w:r w:rsidRPr="003856CE">
        <w:rPr>
          <w:rFonts w:hint="eastAsia"/>
          <w:sz w:val="26"/>
          <w:szCs w:val="26"/>
        </w:rPr>
        <w:t>、台灣仍</w:t>
      </w:r>
      <w:r w:rsidR="005B5472" w:rsidRPr="003856CE">
        <w:rPr>
          <w:rFonts w:hint="eastAsia"/>
          <w:sz w:val="26"/>
          <w:szCs w:val="26"/>
        </w:rPr>
        <w:t>徘徊</w:t>
      </w:r>
      <w:r w:rsidRPr="003856CE">
        <w:rPr>
          <w:rFonts w:hint="eastAsia"/>
          <w:sz w:val="26"/>
          <w:szCs w:val="26"/>
        </w:rPr>
        <w:t>在</w:t>
      </w:r>
      <w:r w:rsidRPr="003856CE">
        <w:rPr>
          <w:sz w:val="26"/>
          <w:szCs w:val="26"/>
        </w:rPr>
        <w:t>1</w:t>
      </w:r>
      <w:r w:rsidR="005B5472">
        <w:rPr>
          <w:rFonts w:hint="eastAsia"/>
          <w:sz w:val="26"/>
          <w:szCs w:val="26"/>
        </w:rPr>
        <w:t>邊緣</w:t>
      </w:r>
      <w:r w:rsidRPr="003856CE">
        <w:rPr>
          <w:rFonts w:hint="eastAsia"/>
          <w:sz w:val="26"/>
          <w:szCs w:val="26"/>
        </w:rPr>
        <w:t>。誰的政策真正做到「加倍奉還」？</w:t>
      </w:r>
      <w:r w:rsidRPr="00BD56F6">
        <w:rPr>
          <w:rFonts w:hint="eastAsia"/>
          <w:sz w:val="26"/>
          <w:szCs w:val="26"/>
        </w:rPr>
        <w:t>什麼才是台灣的可行路徑？</w:t>
      </w:r>
    </w:p>
    <w:p w:rsidR="00BD56F6" w:rsidRPr="003856CE" w:rsidRDefault="00BD56F6" w:rsidP="00BD56F6">
      <w:pPr>
        <w:spacing w:line="380" w:lineRule="exact"/>
        <w:rPr>
          <w:sz w:val="26"/>
          <w:szCs w:val="26"/>
        </w:rPr>
      </w:pPr>
    </w:p>
    <w:p w:rsidR="0073459B" w:rsidRPr="003856CE" w:rsidRDefault="0073459B" w:rsidP="00BD56F6">
      <w:pPr>
        <w:spacing w:after="240" w:line="380" w:lineRule="exact"/>
        <w:rPr>
          <w:b/>
          <w:sz w:val="28"/>
          <w:szCs w:val="28"/>
        </w:rPr>
      </w:pPr>
      <w:r w:rsidRPr="003856CE">
        <w:rPr>
          <w:rFonts w:hint="eastAsia"/>
          <w:b/>
          <w:sz w:val="28"/>
          <w:szCs w:val="28"/>
        </w:rPr>
        <w:t>政策建言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馬總統三年前即指出，少子女化是「國安問題」，但此國安問題至今並未解除。政策不能一錯再錯！我們呼籲：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</w:t>
      </w:r>
      <w:r w:rsidRPr="003856CE">
        <w:rPr>
          <w:rFonts w:hint="eastAsia"/>
          <w:sz w:val="26"/>
          <w:szCs w:val="26"/>
          <w:u w:val="single"/>
        </w:rPr>
        <w:t>一、政府應從女性生涯規劃及經濟安全出發，以人口政策結合就業政策。</w:t>
      </w:r>
      <w:r w:rsidRPr="003856CE">
        <w:rPr>
          <w:rFonts w:hint="eastAsia"/>
          <w:sz w:val="26"/>
          <w:szCs w:val="26"/>
        </w:rPr>
        <w:t>中央研究院</w:t>
      </w:r>
      <w:r w:rsidRPr="003856CE">
        <w:rPr>
          <w:sz w:val="26"/>
          <w:szCs w:val="26"/>
        </w:rPr>
        <w:t>2011</w:t>
      </w:r>
      <w:r w:rsidRPr="003856CE">
        <w:rPr>
          <w:rFonts w:hint="eastAsia"/>
          <w:sz w:val="26"/>
          <w:szCs w:val="26"/>
        </w:rPr>
        <w:t>年的人口政策建議書明白指出，應以北歐國家的政策設計為借鏡：</w:t>
      </w:r>
      <w:r w:rsidRPr="003856CE">
        <w:rPr>
          <w:rFonts w:ascii="標楷體" w:eastAsia="標楷體" w:hAnsi="標楷體" w:hint="eastAsia"/>
          <w:sz w:val="26"/>
          <w:szCs w:val="26"/>
        </w:rPr>
        <w:t>「鼓勵婦女投入勞動力市場，提供同時追求家庭與職業的途徑。」</w:t>
      </w:r>
      <w:r w:rsidRPr="003856CE">
        <w:rPr>
          <w:rFonts w:hint="eastAsia"/>
          <w:sz w:val="26"/>
          <w:szCs w:val="26"/>
        </w:rPr>
        <w:t>中研院學者的研究也發現，</w:t>
      </w:r>
      <w:r w:rsidRPr="003856CE">
        <w:rPr>
          <w:rFonts w:ascii="標楷體" w:eastAsia="標楷體" w:hAnsi="標楷體" w:hint="eastAsia"/>
          <w:sz w:val="26"/>
          <w:szCs w:val="26"/>
        </w:rPr>
        <w:t>「在其他的條件不變下，如果女性有穩定的工作，無需顧慮生育後必須辭職，如教師及公務人員，則有較高的意願生育第二胎。」「讓女性能在產後安心工作」，</w:t>
      </w:r>
      <w:r w:rsidRPr="005C69C9">
        <w:rPr>
          <w:rFonts w:asciiTheme="minorEastAsia" w:eastAsiaTheme="minorEastAsia" w:hAnsiTheme="minorEastAsia" w:hint="eastAsia"/>
          <w:sz w:val="26"/>
          <w:szCs w:val="26"/>
        </w:rPr>
        <w:t>是幫助家庭生養第二胎的關鍵要素。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</w:t>
      </w:r>
      <w:r w:rsidRPr="003856CE">
        <w:rPr>
          <w:rFonts w:hint="eastAsia"/>
          <w:sz w:val="26"/>
          <w:szCs w:val="26"/>
          <w:u w:val="single"/>
        </w:rPr>
        <w:t>二、應以福利與經濟並容，推動普及公共托育，以合理薪資創造服務品</w:t>
      </w:r>
      <w:r w:rsidRPr="003856CE">
        <w:rPr>
          <w:rFonts w:hint="eastAsia"/>
          <w:sz w:val="26"/>
          <w:szCs w:val="26"/>
          <w:u w:val="single"/>
        </w:rPr>
        <w:lastRenderedPageBreak/>
        <w:t>質，活絡在地經濟。</w:t>
      </w:r>
      <w:r w:rsidRPr="003856CE">
        <w:rPr>
          <w:rFonts w:hint="eastAsia"/>
          <w:sz w:val="26"/>
          <w:szCs w:val="26"/>
        </w:rPr>
        <w:t>台灣濫用現金福利的現象，向來比南歐歐豬國家還要嚴重。立法院預算中心〈中央政府</w:t>
      </w:r>
      <w:r w:rsidRPr="003856CE">
        <w:rPr>
          <w:sz w:val="26"/>
          <w:szCs w:val="26"/>
        </w:rPr>
        <w:t>103</w:t>
      </w:r>
      <w:r w:rsidRPr="003856CE">
        <w:rPr>
          <w:rFonts w:hint="eastAsia"/>
          <w:sz w:val="26"/>
          <w:szCs w:val="26"/>
        </w:rPr>
        <w:t>年度預算評估報告〉因此提出警語：</w:t>
      </w:r>
      <w:r w:rsidRPr="003856CE">
        <w:rPr>
          <w:rFonts w:ascii="標楷體" w:eastAsia="標楷體" w:hAnsi="標楷體" w:hint="eastAsia"/>
          <w:sz w:val="26"/>
          <w:szCs w:val="26"/>
        </w:rPr>
        <w:t>「</w:t>
      </w:r>
      <w:r w:rsidRPr="003856CE">
        <w:rPr>
          <w:rFonts w:ascii="標楷體" w:eastAsia="標楷體" w:hAnsi="標楷體" w:hint="eastAsia"/>
          <w:sz w:val="26"/>
          <w:szCs w:val="26"/>
          <w:shd w:val="clear" w:color="auto" w:fill="FFFFFF"/>
        </w:rPr>
        <w:t>我國社福支出偏重現金給付，此將限縮</w:t>
      </w:r>
      <w:r w:rsidR="003856CE" w:rsidRPr="00BD56F6">
        <w:rPr>
          <w:rFonts w:ascii="標楷體" w:eastAsia="標楷體" w:hAnsi="標楷體" w:hint="eastAsia"/>
          <w:sz w:val="26"/>
          <w:szCs w:val="26"/>
          <w:shd w:val="clear" w:color="auto" w:fill="FFFFFF"/>
        </w:rPr>
        <w:t>［</w:t>
      </w:r>
      <w:r w:rsidRPr="00BD56F6">
        <w:rPr>
          <w:rFonts w:ascii="標楷體" w:eastAsia="標楷體" w:hAnsi="標楷體" w:hint="eastAsia"/>
          <w:sz w:val="26"/>
          <w:szCs w:val="26"/>
          <w:shd w:val="clear" w:color="auto" w:fill="FFFFFF"/>
        </w:rPr>
        <w:t>托育和</w:t>
      </w:r>
      <w:r w:rsidR="00D2483F">
        <w:rPr>
          <w:rFonts w:ascii="標楷體" w:eastAsia="標楷體" w:hAnsi="標楷體" w:hint="eastAsia"/>
          <w:sz w:val="26"/>
          <w:szCs w:val="26"/>
          <w:shd w:val="clear" w:color="auto" w:fill="FFFFFF"/>
        </w:rPr>
        <w:t>長照</w:t>
      </w:r>
      <w:r w:rsidRPr="00BD56F6">
        <w:rPr>
          <w:rFonts w:ascii="標楷體" w:eastAsia="標楷體" w:hAnsi="標楷體" w:hint="eastAsia"/>
          <w:sz w:val="26"/>
          <w:szCs w:val="26"/>
          <w:shd w:val="clear" w:color="auto" w:fill="FFFFFF"/>
        </w:rPr>
        <w:t>服務等</w:t>
      </w:r>
      <w:r w:rsidR="003856CE" w:rsidRPr="00BD56F6">
        <w:rPr>
          <w:rFonts w:ascii="標楷體" w:eastAsia="標楷體" w:hAnsi="標楷體" w:hint="eastAsia"/>
          <w:sz w:val="26"/>
          <w:szCs w:val="26"/>
          <w:shd w:val="clear" w:color="auto" w:fill="FFFFFF"/>
        </w:rPr>
        <w:t>］</w:t>
      </w:r>
      <w:r w:rsidRPr="003856CE">
        <w:rPr>
          <w:rFonts w:ascii="標楷體" w:eastAsia="標楷體" w:hAnsi="標楷體" w:hint="eastAsia"/>
          <w:sz w:val="26"/>
          <w:szCs w:val="26"/>
          <w:shd w:val="clear" w:color="auto" w:fill="FFFFFF"/>
        </w:rPr>
        <w:t>實物給付發展空間。</w:t>
      </w:r>
      <w:r w:rsidRPr="003856CE">
        <w:rPr>
          <w:rFonts w:ascii="標楷體" w:eastAsia="標楷體" w:hAnsi="標楷體" w:hint="eastAsia"/>
          <w:sz w:val="26"/>
          <w:szCs w:val="26"/>
        </w:rPr>
        <w:t>」「</w:t>
      </w:r>
      <w:r w:rsidRPr="003856CE">
        <w:rPr>
          <w:rFonts w:ascii="標楷體" w:eastAsia="標楷體" w:hAnsi="標楷體" w:hint="eastAsia"/>
          <w:sz w:val="26"/>
          <w:szCs w:val="26"/>
          <w:shd w:val="clear" w:color="auto" w:fill="FFFFFF"/>
        </w:rPr>
        <w:t>實物給付之效益性遠高於直接發放現金，且政府亦可藉實物之提供以發展相關照顧（護）等社會福利產業，創造就業機會，不僅可舒緩日益龐大之社會福利支出對財政造成之沉重壓力，同時有助於經濟發展。</w:t>
      </w:r>
      <w:r w:rsidRPr="003856CE">
        <w:rPr>
          <w:rFonts w:ascii="標楷體" w:eastAsia="標楷體" w:hAnsi="標楷體" w:hint="eastAsia"/>
          <w:sz w:val="26"/>
          <w:szCs w:val="26"/>
        </w:rPr>
        <w:t>」「</w:t>
      </w:r>
      <w:r w:rsidRPr="003856CE">
        <w:rPr>
          <w:rFonts w:ascii="標楷體" w:eastAsia="標楷體" w:hAnsi="標楷體" w:hint="eastAsia"/>
          <w:sz w:val="26"/>
          <w:szCs w:val="26"/>
          <w:shd w:val="clear" w:color="auto" w:fill="FFFFFF"/>
        </w:rPr>
        <w:t>政府應亟思如何將社會福利支出轉化為可促進產業發展之助力……增加就業，使社會福利與經濟發展相輔相成。</w:t>
      </w:r>
      <w:r w:rsidRPr="003856CE">
        <w:rPr>
          <w:rFonts w:hint="eastAsia"/>
          <w:sz w:val="26"/>
          <w:szCs w:val="26"/>
        </w:rPr>
        <w:t>」若福利經費用於擴張社區保母系統，廣設公共托嬰中心、非營利幼兒園，家長將不用再苦苦候補，不怕公共托育「看得到</w:t>
      </w:r>
      <w:r w:rsidR="00BD56F6">
        <w:rPr>
          <w:rFonts w:hint="eastAsia"/>
          <w:sz w:val="26"/>
          <w:szCs w:val="26"/>
        </w:rPr>
        <w:t>吃不到」，進而安心就業；也能為托育工作者創造有合理薪資的就業</w:t>
      </w:r>
      <w:r w:rsidRPr="003856CE">
        <w:rPr>
          <w:rFonts w:hint="eastAsia"/>
          <w:sz w:val="26"/>
          <w:szCs w:val="26"/>
        </w:rPr>
        <w:t>，提升照顧安全及品質，正是立法院報告提示的「</w:t>
      </w:r>
      <w:r w:rsidRPr="005C69C9">
        <w:rPr>
          <w:rFonts w:ascii="標楷體" w:eastAsia="標楷體" w:hAnsi="標楷體" w:hint="eastAsia"/>
          <w:sz w:val="26"/>
          <w:szCs w:val="26"/>
          <w:shd w:val="clear" w:color="auto" w:fill="FFFFFF"/>
        </w:rPr>
        <w:t>使社會福利與經濟發展相輔相成</w:t>
      </w:r>
      <w:r w:rsidRPr="003856CE">
        <w:rPr>
          <w:rFonts w:hint="eastAsia"/>
          <w:sz w:val="26"/>
          <w:szCs w:val="26"/>
        </w:rPr>
        <w:t>」。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</w:t>
      </w:r>
      <w:r w:rsidRPr="003856CE">
        <w:rPr>
          <w:rFonts w:hint="eastAsia"/>
          <w:sz w:val="26"/>
          <w:szCs w:val="26"/>
          <w:u w:val="single"/>
        </w:rPr>
        <w:t>三、濫發現金，無用有害，不應加碼。否則將斷送改革機會，生育率與女性勞參率雙輸。</w:t>
      </w:r>
      <w:r w:rsidRPr="003856CE">
        <w:rPr>
          <w:rFonts w:hint="eastAsia"/>
          <w:sz w:val="26"/>
          <w:szCs w:val="26"/>
        </w:rPr>
        <w:t>總額</w:t>
      </w:r>
      <w:r w:rsidRPr="003856CE">
        <w:rPr>
          <w:rFonts w:ascii="Times New Roman" w:hAnsi="Times New Roman" w:hint="eastAsia"/>
          <w:sz w:val="26"/>
          <w:szCs w:val="26"/>
          <w:shd w:val="clear" w:color="auto" w:fill="FFFFFF"/>
        </w:rPr>
        <w:t>六萬元的育兒津貼，已經證實根本「催生無效」；類似津貼加碼</w:t>
      </w:r>
      <w:r w:rsidRPr="003856CE">
        <w:rPr>
          <w:rFonts w:hint="eastAsia"/>
          <w:sz w:val="26"/>
          <w:szCs w:val="26"/>
        </w:rPr>
        <w:t>濫發，是一錯再錯。而俄羅斯式的鉅額津貼政策，若</w:t>
      </w:r>
      <w:r w:rsidR="005B5472">
        <w:rPr>
          <w:rFonts w:hint="eastAsia"/>
          <w:sz w:val="26"/>
          <w:szCs w:val="26"/>
        </w:rPr>
        <w:t>在</w:t>
      </w:r>
      <w:r w:rsidRPr="003856CE">
        <w:rPr>
          <w:rFonts w:hint="eastAsia"/>
          <w:sz w:val="26"/>
          <w:szCs w:val="26"/>
        </w:rPr>
        <w:t>台灣</w:t>
      </w:r>
      <w:r w:rsidR="00EF4981">
        <w:rPr>
          <w:rFonts w:hint="eastAsia"/>
          <w:sz w:val="26"/>
          <w:szCs w:val="26"/>
        </w:rPr>
        <w:t>對</w:t>
      </w:r>
      <w:r w:rsidRPr="003856CE">
        <w:rPr>
          <w:sz w:val="26"/>
          <w:szCs w:val="26"/>
        </w:rPr>
        <w:t>101</w:t>
      </w:r>
      <w:r w:rsidRPr="003856CE">
        <w:rPr>
          <w:rFonts w:hint="eastAsia"/>
          <w:sz w:val="26"/>
          <w:szCs w:val="26"/>
        </w:rPr>
        <w:t>年出生的第二胎</w:t>
      </w:r>
      <w:r w:rsidR="00EF4981">
        <w:rPr>
          <w:rFonts w:hint="eastAsia"/>
          <w:sz w:val="26"/>
          <w:szCs w:val="26"/>
        </w:rPr>
        <w:t>發放等值津貼</w:t>
      </w:r>
      <w:r w:rsidRPr="003856CE">
        <w:rPr>
          <w:rFonts w:hint="eastAsia"/>
          <w:sz w:val="26"/>
          <w:szCs w:val="26"/>
        </w:rPr>
        <w:t>，就需要</w:t>
      </w:r>
      <w:r w:rsidRPr="003856CE">
        <w:rPr>
          <w:sz w:val="26"/>
          <w:szCs w:val="26"/>
        </w:rPr>
        <w:t>432</w:t>
      </w:r>
      <w:r w:rsidRPr="003856CE">
        <w:rPr>
          <w:rFonts w:hint="eastAsia"/>
          <w:sz w:val="26"/>
          <w:szCs w:val="26"/>
        </w:rPr>
        <w:t>億元！</w:t>
      </w:r>
      <w:r w:rsidR="00EF4981">
        <w:rPr>
          <w:rFonts w:hint="eastAsia"/>
          <w:sz w:val="26"/>
          <w:szCs w:val="26"/>
        </w:rPr>
        <w:t>而</w:t>
      </w:r>
      <w:r w:rsidR="00EF4981" w:rsidRPr="00EF4981">
        <w:rPr>
          <w:rFonts w:hint="eastAsia"/>
          <w:sz w:val="26"/>
          <w:szCs w:val="26"/>
        </w:rPr>
        <w:t>若要將生育率提升到俄羅斯的水準，估計每年大概得花</w:t>
      </w:r>
      <w:r w:rsidR="00EF4981" w:rsidRPr="00EF4981">
        <w:rPr>
          <w:rFonts w:hint="eastAsia"/>
          <w:sz w:val="26"/>
          <w:szCs w:val="26"/>
        </w:rPr>
        <w:t>7</w:t>
      </w:r>
      <w:r w:rsidR="00EF4981" w:rsidRPr="00EF4981">
        <w:rPr>
          <w:rFonts w:hint="eastAsia"/>
          <w:sz w:val="26"/>
          <w:szCs w:val="26"/>
        </w:rPr>
        <w:t>百多億元</w:t>
      </w:r>
      <w:r w:rsidR="00EF4981">
        <w:rPr>
          <w:rFonts w:hint="eastAsia"/>
          <w:sz w:val="26"/>
          <w:szCs w:val="26"/>
        </w:rPr>
        <w:t>。</w:t>
      </w:r>
      <w:r w:rsidRPr="003856CE">
        <w:rPr>
          <w:rFonts w:hint="eastAsia"/>
          <w:sz w:val="26"/>
          <w:szCs w:val="26"/>
        </w:rPr>
        <w:t>這並不是現金給付浮濫的台灣所能為，否則彈盡援絕指日可待。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何況比較各國女性職涯曲線可知，避免女性退出職場、保障為人父母穩定就業，才是生育率能夠回升的大前提。也就是說，普及公共托育必須作為第一優先政策。國家財政行有餘力</w:t>
      </w:r>
      <w:r w:rsidR="00EF4981">
        <w:rPr>
          <w:rFonts w:hint="eastAsia"/>
          <w:sz w:val="26"/>
          <w:szCs w:val="26"/>
        </w:rPr>
        <w:t>時</w:t>
      </w:r>
      <w:r w:rsidRPr="003856CE">
        <w:rPr>
          <w:rFonts w:hint="eastAsia"/>
          <w:sz w:val="26"/>
          <w:szCs w:val="26"/>
        </w:rPr>
        <w:t>，才能</w:t>
      </w:r>
      <w:r w:rsidR="008D5FF3">
        <w:rPr>
          <w:rFonts w:hint="eastAsia"/>
          <w:sz w:val="26"/>
          <w:szCs w:val="26"/>
        </w:rPr>
        <w:t>加</w:t>
      </w:r>
      <w:r w:rsidRPr="003856CE">
        <w:rPr>
          <w:rFonts w:hint="eastAsia"/>
          <w:sz w:val="26"/>
          <w:szCs w:val="26"/>
        </w:rPr>
        <w:t>採俄羅斯模式。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目前台灣沒有普及公共托育，發錢卻又發錯方式，當然政策成效極差！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這對台灣的經濟力也造成巨大傷害</w:t>
      </w:r>
      <w:r w:rsidR="005C69C9">
        <w:rPr>
          <w:rFonts w:hint="eastAsia"/>
          <w:sz w:val="26"/>
          <w:szCs w:val="26"/>
        </w:rPr>
        <w:t>。</w:t>
      </w:r>
      <w:r w:rsidRPr="003856CE">
        <w:rPr>
          <w:rFonts w:hint="eastAsia"/>
          <w:sz w:val="26"/>
          <w:szCs w:val="26"/>
        </w:rPr>
        <w:t>萬事達卡國際組織（</w:t>
      </w:r>
      <w:r w:rsidRPr="003856CE">
        <w:rPr>
          <w:sz w:val="26"/>
          <w:szCs w:val="26"/>
        </w:rPr>
        <w:t>MasterCard</w:t>
      </w:r>
      <w:r w:rsidRPr="003856CE">
        <w:rPr>
          <w:rFonts w:hint="eastAsia"/>
          <w:sz w:val="26"/>
          <w:szCs w:val="26"/>
        </w:rPr>
        <w:t>）日前發布調查指出，台灣女性接受高等教育的比例超過</w:t>
      </w:r>
      <w:r w:rsidRPr="003856CE">
        <w:rPr>
          <w:sz w:val="26"/>
          <w:szCs w:val="26"/>
        </w:rPr>
        <w:t>8</w:t>
      </w:r>
      <w:r w:rsidRPr="003856CE">
        <w:rPr>
          <w:rFonts w:hint="eastAsia"/>
          <w:sz w:val="26"/>
          <w:szCs w:val="26"/>
        </w:rPr>
        <w:t>成，榮登全亞洲第</w:t>
      </w:r>
      <w:r w:rsidRPr="003856CE">
        <w:rPr>
          <w:sz w:val="26"/>
          <w:szCs w:val="26"/>
        </w:rPr>
        <w:t>2</w:t>
      </w:r>
      <w:r w:rsidRPr="003856CE">
        <w:rPr>
          <w:rFonts w:hint="eastAsia"/>
          <w:sz w:val="26"/>
          <w:szCs w:val="26"/>
        </w:rPr>
        <w:t>名。但台灣女性勞動參與率僅僅</w:t>
      </w:r>
      <w:r w:rsidRPr="003856CE">
        <w:rPr>
          <w:sz w:val="26"/>
          <w:szCs w:val="26"/>
        </w:rPr>
        <w:t>50.2%</w:t>
      </w:r>
      <w:r w:rsidRPr="003856CE">
        <w:rPr>
          <w:rFonts w:hint="eastAsia"/>
          <w:sz w:val="26"/>
          <w:szCs w:val="26"/>
        </w:rPr>
        <w:t>，遠低於中國的</w:t>
      </w:r>
      <w:r w:rsidRPr="003856CE">
        <w:rPr>
          <w:sz w:val="26"/>
          <w:szCs w:val="26"/>
        </w:rPr>
        <w:t>67.5%</w:t>
      </w:r>
      <w:r w:rsidRPr="003856CE">
        <w:rPr>
          <w:rFonts w:hint="eastAsia"/>
          <w:sz w:val="26"/>
          <w:szCs w:val="26"/>
        </w:rPr>
        <w:t>、新加坡</w:t>
      </w:r>
      <w:r w:rsidRPr="003856CE">
        <w:rPr>
          <w:sz w:val="26"/>
          <w:szCs w:val="26"/>
        </w:rPr>
        <w:t>56.2%</w:t>
      </w:r>
      <w:r w:rsidRPr="003856CE">
        <w:rPr>
          <w:rFonts w:hint="eastAsia"/>
          <w:sz w:val="26"/>
          <w:szCs w:val="26"/>
        </w:rPr>
        <w:t>與香港的</w:t>
      </w:r>
      <w:r w:rsidRPr="003856CE">
        <w:rPr>
          <w:sz w:val="26"/>
          <w:szCs w:val="26"/>
        </w:rPr>
        <w:t>51%</w:t>
      </w:r>
      <w:r w:rsidRPr="003856CE">
        <w:rPr>
          <w:rFonts w:hint="eastAsia"/>
          <w:sz w:val="26"/>
          <w:szCs w:val="26"/>
        </w:rPr>
        <w:t>，位居華語世界之末，等於是嚴重的「高教育低就業」。該組織就說，這是因為「缺乏孩童與老年人口照護機制，導致女性必須擔起責任而無法進入工作職場」，白白浪費了人力資源。</w:t>
      </w:r>
    </w:p>
    <w:p w:rsidR="0073459B" w:rsidRPr="003856CE" w:rsidRDefault="0073459B" w:rsidP="00BD56F6">
      <w:pPr>
        <w:spacing w:line="380" w:lineRule="exact"/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　　</w:t>
      </w:r>
      <w:r w:rsidRPr="003856CE">
        <w:rPr>
          <w:rFonts w:hint="eastAsia"/>
          <w:sz w:val="26"/>
          <w:szCs w:val="26"/>
          <w:u w:val="single"/>
        </w:rPr>
        <w:t>由以上分析可知，我國並無擴大育兒津貼的空間；提供平價普及</w:t>
      </w:r>
      <w:r w:rsidR="005C69C9">
        <w:rPr>
          <w:rFonts w:hint="eastAsia"/>
          <w:sz w:val="26"/>
          <w:szCs w:val="26"/>
          <w:u w:val="single"/>
        </w:rPr>
        <w:t>公共</w:t>
      </w:r>
      <w:r w:rsidRPr="003856CE">
        <w:rPr>
          <w:rFonts w:hint="eastAsia"/>
          <w:sz w:val="26"/>
          <w:szCs w:val="26"/>
          <w:u w:val="single"/>
        </w:rPr>
        <w:t>托育，才能有效鼓勵生育，並使福利與經濟並容。</w:t>
      </w:r>
      <w:r w:rsidRPr="003856CE">
        <w:rPr>
          <w:rFonts w:hint="eastAsia"/>
          <w:sz w:val="26"/>
          <w:szCs w:val="26"/>
        </w:rPr>
        <w:t>請政府面對現實：生育率「半折子數」，唯有讓人民兼顧工作、育兒，才能使之「加倍奉還」！</w:t>
      </w:r>
    </w:p>
    <w:p w:rsidR="0073459B" w:rsidRPr="003856CE" w:rsidRDefault="0073459B" w:rsidP="000C1832">
      <w:pPr>
        <w:rPr>
          <w:sz w:val="26"/>
          <w:szCs w:val="26"/>
        </w:rPr>
      </w:pPr>
    </w:p>
    <w:p w:rsidR="003856CE" w:rsidRPr="003856CE" w:rsidRDefault="003856CE" w:rsidP="000C1832">
      <w:pPr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>托育政策催生聯盟召集人　劉毓秀</w:t>
      </w:r>
    </w:p>
    <w:p w:rsidR="003856CE" w:rsidRPr="003856CE" w:rsidRDefault="003856CE" w:rsidP="000C1832">
      <w:pPr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>台灣勞工陣線　張烽益</w:t>
      </w:r>
    </w:p>
    <w:p w:rsidR="003856CE" w:rsidRPr="003856CE" w:rsidRDefault="003856CE" w:rsidP="000C1832">
      <w:pPr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>全國家長團體聯盟　謝國清</w:t>
      </w:r>
    </w:p>
    <w:p w:rsidR="003856CE" w:rsidRPr="003856CE" w:rsidRDefault="003856CE" w:rsidP="000C1832">
      <w:pPr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 xml:space="preserve">全國教保產業工會　</w:t>
      </w:r>
      <w:r w:rsidR="00773614">
        <w:rPr>
          <w:rFonts w:hint="eastAsia"/>
          <w:sz w:val="26"/>
          <w:szCs w:val="26"/>
        </w:rPr>
        <w:t>王淑英</w:t>
      </w:r>
    </w:p>
    <w:p w:rsidR="00BD56F6" w:rsidRDefault="003856CE" w:rsidP="000C1832">
      <w:pPr>
        <w:rPr>
          <w:sz w:val="26"/>
          <w:szCs w:val="26"/>
        </w:rPr>
      </w:pPr>
      <w:r w:rsidRPr="003856CE">
        <w:rPr>
          <w:rFonts w:hint="eastAsia"/>
          <w:sz w:val="26"/>
          <w:szCs w:val="26"/>
        </w:rPr>
        <w:t>婦女新知基金會　覃玉蓉</w:t>
      </w:r>
    </w:p>
    <w:p w:rsidR="003856CE" w:rsidRPr="003856CE" w:rsidRDefault="00BD56F6" w:rsidP="00BD56F6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F2DEA" w:rsidRPr="00C1417A" w:rsidRDefault="003856CE" w:rsidP="003856CE">
      <w:pPr>
        <w:rPr>
          <w:b/>
          <w:sz w:val="28"/>
          <w:szCs w:val="28"/>
          <w:bdr w:val="single" w:sz="4" w:space="0" w:color="auto"/>
          <w:shd w:val="pct15" w:color="auto" w:fill="FFFFFF"/>
        </w:rPr>
      </w:pPr>
      <w:r w:rsidRPr="00C1417A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附件</w:t>
      </w:r>
      <w:r w:rsidR="000F2DEA" w:rsidRPr="00C1417A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──</w:t>
      </w:r>
      <w:r w:rsidR="008B07B3" w:rsidRPr="00C1417A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圖一、圖二</w:t>
      </w:r>
      <w:r w:rsidR="0077694F" w:rsidRPr="00C1417A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、圖三</w:t>
      </w:r>
      <w:r w:rsidR="00D2483F" w:rsidRPr="00C1417A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、表一及說明</w:t>
      </w:r>
    </w:p>
    <w:p w:rsidR="00D2483F" w:rsidRDefault="00D2483F" w:rsidP="003856C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圖一：瑞典、俄羅斯、台灣生育率走勢圖</w:t>
      </w:r>
    </w:p>
    <w:p w:rsidR="00DF7C1A" w:rsidRDefault="00DF7C1A" w:rsidP="000C1832">
      <w:r>
        <w:rPr>
          <w:noProof/>
        </w:rPr>
        <w:drawing>
          <wp:inline distT="0" distB="0" distL="0" distR="0" wp14:anchorId="0060AC43" wp14:editId="17BD340D">
            <wp:extent cx="5483225" cy="3348956"/>
            <wp:effectExtent l="0" t="0" r="3175" b="4445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5907" w:rsidRDefault="00345907" w:rsidP="008B07B3">
      <w:pPr>
        <w:widowControl/>
        <w:shd w:val="clear" w:color="auto" w:fill="FFFFFF"/>
        <w:rPr>
          <w:rFonts w:ascii="Tahoma" w:hAnsi="Tahoma" w:cs="Tahoma"/>
          <w:color w:val="222222"/>
          <w:kern w:val="0"/>
          <w:sz w:val="26"/>
          <w:szCs w:val="26"/>
        </w:rPr>
      </w:pPr>
    </w:p>
    <w:p w:rsidR="00904E2F" w:rsidRPr="00D2483F" w:rsidRDefault="00D2483F" w:rsidP="005C69C9">
      <w:pPr>
        <w:widowControl/>
        <w:shd w:val="clear" w:color="auto" w:fill="FFFFFF"/>
        <w:rPr>
          <w:rFonts w:ascii="Tahoma" w:hAnsi="Tahoma" w:cs="Tahoma"/>
          <w:b/>
          <w:color w:val="222222"/>
          <w:kern w:val="0"/>
          <w:sz w:val="28"/>
          <w:szCs w:val="28"/>
        </w:rPr>
      </w:pPr>
      <w:r w:rsidRPr="00D2483F">
        <w:rPr>
          <w:rFonts w:ascii="Tahoma" w:hAnsi="Tahoma" w:cs="Tahoma" w:hint="eastAsia"/>
          <w:b/>
          <w:color w:val="222222"/>
          <w:kern w:val="0"/>
          <w:sz w:val="28"/>
          <w:szCs w:val="28"/>
        </w:rPr>
        <w:t>圖二：瑞典、俄羅斯、台灣女性職涯曲線圖</w:t>
      </w:r>
    </w:p>
    <w:p w:rsidR="00DF7C1A" w:rsidRDefault="00DF7C1A" w:rsidP="005C69C9">
      <w:pPr>
        <w:widowControl/>
        <w:shd w:val="clear" w:color="auto" w:fill="FFFFFF"/>
        <w:rPr>
          <w:rFonts w:ascii="Tahoma" w:hAnsi="Tahoma" w:cs="Tahoma"/>
          <w:color w:val="222222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5082828E" wp14:editId="39D773C2">
            <wp:extent cx="5483225" cy="3484133"/>
            <wp:effectExtent l="0" t="0" r="3175" b="2540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C69C9" w:rsidRDefault="005C69C9" w:rsidP="005C69C9">
      <w:pPr>
        <w:widowControl/>
        <w:shd w:val="clear" w:color="auto" w:fill="FFFFFF"/>
        <w:rPr>
          <w:rFonts w:ascii="Tahoma" w:hAnsi="Tahoma" w:cs="Tahoma"/>
          <w:color w:val="222222"/>
          <w:kern w:val="0"/>
          <w:sz w:val="26"/>
          <w:szCs w:val="26"/>
        </w:rPr>
      </w:pP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lastRenderedPageBreak/>
        <w:t>按：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俄羅斯和瑞典兩國的做法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，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都能有效提升生育率，女性就業率亦高；尤其值得注意的是，此兩國女性都能連續就業，以致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35-55</w:t>
      </w:r>
      <w:r w:rsidRPr="008B07B3">
        <w:rPr>
          <w:rFonts w:ascii="Tahoma" w:hAnsi="Tahoma" w:cs="Tahoma"/>
          <w:color w:val="222222"/>
          <w:kern w:val="0"/>
          <w:sz w:val="26"/>
          <w:szCs w:val="26"/>
        </w:rPr>
        <w:t>歲的體力與能力高峰，正吻合女性就業高峰。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相較之下，此年</w:t>
      </w:r>
      <w:r w:rsidRPr="008B07B3">
        <w:rPr>
          <w:rFonts w:ascii="Tahoma" w:hAnsi="Tahoma" w:cs="Tahoma"/>
          <w:color w:val="222222"/>
          <w:kern w:val="0"/>
          <w:sz w:val="26"/>
          <w:szCs w:val="26"/>
        </w:rPr>
        <w:t>齡層台灣女性就業率節節滑落，對於國家生產力的影響之大，可想而知</w:t>
      </w:r>
      <w:r>
        <w:rPr>
          <w:rFonts w:ascii="Tahoma" w:hAnsi="Tahoma" w:cs="Tahoma"/>
          <w:color w:val="222222"/>
          <w:kern w:val="0"/>
          <w:sz w:val="26"/>
          <w:szCs w:val="26"/>
        </w:rPr>
        <w:t>。又若將瑞典與俄羅斯比較，瑞典政策效果明顯優於俄羅斯</w:t>
      </w:r>
      <w:r>
        <w:rPr>
          <w:rFonts w:ascii="Tahoma" w:hAnsi="Tahoma" w:cs="Tahoma" w:hint="eastAsia"/>
          <w:color w:val="222222"/>
          <w:kern w:val="0"/>
          <w:sz w:val="26"/>
          <w:szCs w:val="26"/>
        </w:rPr>
        <w:t>；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俄羅斯</w:t>
      </w:r>
      <w:r w:rsidR="009525CF">
        <w:rPr>
          <w:rFonts w:ascii="Tahoma" w:hAnsi="Tahoma" w:cs="Tahoma" w:hint="eastAsia"/>
          <w:color w:val="222222"/>
          <w:kern w:val="0"/>
          <w:sz w:val="26"/>
          <w:szCs w:val="26"/>
        </w:rPr>
        <w:t>模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式政策不僅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遠遠超出今天我國國庫所能負擔的限度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，</w:t>
      </w:r>
      <w:r w:rsidRPr="008B07B3">
        <w:rPr>
          <w:rFonts w:ascii="Tahoma" w:hAnsi="Tahoma" w:cs="Tahoma"/>
          <w:color w:val="222222"/>
          <w:kern w:val="0"/>
          <w:sz w:val="26"/>
          <w:szCs w:val="26"/>
        </w:rPr>
        <w:t>且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若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在我國女</w:t>
      </w:r>
      <w:r w:rsidRPr="008B07B3">
        <w:rPr>
          <w:rFonts w:ascii="Tahoma" w:hAnsi="Tahoma" w:cs="Tahoma"/>
          <w:color w:val="222222"/>
          <w:kern w:val="0"/>
          <w:sz w:val="26"/>
          <w:szCs w:val="26"/>
        </w:rPr>
        <w:t>性傾向「婚育＋離職」的現況下實施此政策，單向鼓勵女性多生，必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使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女性就業率</w:t>
      </w:r>
      <w:r w:rsidR="009525CF">
        <w:rPr>
          <w:rFonts w:ascii="Tahoma" w:hAnsi="Tahoma" w:cs="Tahoma" w:hint="eastAsia"/>
          <w:color w:val="222222"/>
          <w:kern w:val="0"/>
          <w:sz w:val="26"/>
          <w:szCs w:val="26"/>
        </w:rPr>
        <w:t>更加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惡化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。</w:t>
      </w:r>
    </w:p>
    <w:p w:rsidR="005C69C9" w:rsidRPr="003856CE" w:rsidRDefault="005C69C9" w:rsidP="005C69C9">
      <w:pPr>
        <w:widowControl/>
        <w:shd w:val="clear" w:color="auto" w:fill="FFFFFF"/>
        <w:ind w:firstLine="480"/>
        <w:rPr>
          <w:rFonts w:ascii="Tahoma" w:hAnsi="Tahoma" w:cs="Tahoma"/>
          <w:color w:val="222222"/>
          <w:kern w:val="0"/>
          <w:sz w:val="26"/>
          <w:szCs w:val="26"/>
        </w:rPr>
      </w:pPr>
      <w:r w:rsidRPr="008B07B3">
        <w:rPr>
          <w:rFonts w:ascii="Tahoma" w:hAnsi="Tahoma" w:cs="Tahoma"/>
          <w:color w:val="222222"/>
          <w:kern w:val="0"/>
          <w:sz w:val="26"/>
          <w:szCs w:val="26"/>
        </w:rPr>
        <w:t>台灣由於長年政策與觀念錯誤，導致今天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「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超低生育率＋女性超低就業率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」</w:t>
      </w:r>
      <w:r w:rsidRPr="003856CE">
        <w:rPr>
          <w:rFonts w:ascii="Tahoma" w:hAnsi="Tahoma" w:cs="Tahoma"/>
          <w:color w:val="222222"/>
          <w:kern w:val="0"/>
          <w:sz w:val="26"/>
          <w:szCs w:val="26"/>
        </w:rPr>
        <w:t>的可怕配對。有必要結合人口政策與就業政策，逆轉此負向配對，以同時提振生育率與女性就業率為政策目標。</w:t>
      </w:r>
    </w:p>
    <w:p w:rsidR="00CC22C7" w:rsidRDefault="00CC22C7" w:rsidP="008B07B3">
      <w:pPr>
        <w:widowControl/>
        <w:shd w:val="clear" w:color="auto" w:fill="FFFFFF"/>
        <w:rPr>
          <w:rFonts w:ascii="Tahoma" w:hAnsi="Tahoma" w:cs="Tahoma"/>
          <w:color w:val="222222"/>
          <w:kern w:val="0"/>
          <w:sz w:val="26"/>
          <w:szCs w:val="26"/>
        </w:rPr>
      </w:pPr>
    </w:p>
    <w:p w:rsidR="00F45CC6" w:rsidRPr="000F2DEA" w:rsidRDefault="00345907" w:rsidP="008B07B3">
      <w:pPr>
        <w:widowControl/>
        <w:shd w:val="clear" w:color="auto" w:fill="FFFFFF"/>
        <w:rPr>
          <w:rFonts w:ascii="Tahoma" w:hAnsi="Tahoma" w:cs="Tahoma"/>
          <w:b/>
          <w:kern w:val="0"/>
          <w:sz w:val="26"/>
          <w:szCs w:val="26"/>
        </w:rPr>
      </w:pPr>
      <w:r w:rsidRPr="000F2DEA">
        <w:rPr>
          <w:rFonts w:ascii="Tahoma" w:hAnsi="Tahoma" w:cs="Tahoma" w:hint="eastAsia"/>
          <w:b/>
          <w:kern w:val="0"/>
          <w:sz w:val="28"/>
          <w:szCs w:val="28"/>
        </w:rPr>
        <w:t>圖三</w:t>
      </w:r>
      <w:r w:rsidR="00D2483F" w:rsidRPr="000F2DEA">
        <w:rPr>
          <w:rFonts w:ascii="Tahoma" w:hAnsi="Tahoma" w:cs="Tahoma" w:hint="eastAsia"/>
          <w:b/>
          <w:kern w:val="0"/>
          <w:sz w:val="28"/>
          <w:szCs w:val="28"/>
        </w:rPr>
        <w:t>：台灣近十年</w:t>
      </w:r>
      <w:r w:rsidR="00D2483F" w:rsidRPr="000F2DEA">
        <w:rPr>
          <w:rFonts w:ascii="Tahoma" w:hAnsi="Tahoma" w:cs="Tahoma" w:hint="eastAsia"/>
          <w:b/>
          <w:kern w:val="0"/>
          <w:sz w:val="28"/>
          <w:szCs w:val="28"/>
        </w:rPr>
        <w:t>2-9</w:t>
      </w:r>
      <w:r w:rsidR="00D2483F" w:rsidRPr="000F2DEA">
        <w:rPr>
          <w:rFonts w:ascii="Tahoma" w:hAnsi="Tahoma" w:cs="Tahoma" w:hint="eastAsia"/>
          <w:b/>
          <w:kern w:val="0"/>
          <w:sz w:val="28"/>
          <w:szCs w:val="28"/>
        </w:rPr>
        <w:t>月出生嬰兒數圖</w:t>
      </w:r>
    </w:p>
    <w:p w:rsidR="00DF7C1A" w:rsidRDefault="00DF7C1A" w:rsidP="00DF7C1A">
      <w:pPr>
        <w:widowControl/>
        <w:shd w:val="clear" w:color="auto" w:fill="FFFFFF"/>
        <w:rPr>
          <w:rFonts w:ascii="Tahoma" w:hAnsi="Tahoma" w:cs="Tahoma"/>
          <w:color w:val="222222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1980B44B" wp14:editId="79915A6A">
            <wp:extent cx="5257800" cy="2120900"/>
            <wp:effectExtent l="0" t="0" r="0" b="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14BA" w:rsidRDefault="005514BA" w:rsidP="005514BA">
      <w:pPr>
        <w:widowControl/>
        <w:shd w:val="clear" w:color="auto" w:fill="FFFFFF"/>
        <w:jc w:val="center"/>
        <w:rPr>
          <w:noProof/>
          <w:sz w:val="22"/>
        </w:rPr>
      </w:pPr>
      <w:r>
        <w:rPr>
          <w:rFonts w:hint="eastAsia"/>
          <w:noProof/>
          <w:sz w:val="22"/>
        </w:rPr>
        <w:t xml:space="preserve">                                           </w:t>
      </w:r>
      <w:r w:rsidRPr="008B07B3">
        <w:rPr>
          <w:rFonts w:hint="eastAsia"/>
          <w:noProof/>
          <w:sz w:val="22"/>
        </w:rPr>
        <w:t>資料來源：</w:t>
      </w:r>
      <w:r>
        <w:rPr>
          <w:rFonts w:hint="eastAsia"/>
          <w:noProof/>
          <w:sz w:val="22"/>
        </w:rPr>
        <w:t>行政院內政部統計處</w:t>
      </w:r>
    </w:p>
    <w:p w:rsidR="00805EF3" w:rsidRDefault="00805EF3" w:rsidP="00805EF3">
      <w:pPr>
        <w:widowControl/>
        <w:shd w:val="clear" w:color="auto" w:fill="FFFFFF"/>
        <w:rPr>
          <w:noProof/>
          <w:sz w:val="22"/>
        </w:rPr>
      </w:pPr>
    </w:p>
    <w:p w:rsidR="005C69C9" w:rsidRDefault="005C69C9" w:rsidP="003856CE">
      <w:pPr>
        <w:widowControl/>
        <w:shd w:val="clear" w:color="auto" w:fill="FFFFFF"/>
        <w:rPr>
          <w:rFonts w:ascii="Tahoma" w:hAnsi="Tahoma" w:cs="Tahoma"/>
          <w:color w:val="222222"/>
          <w:kern w:val="0"/>
          <w:sz w:val="26"/>
          <w:szCs w:val="26"/>
        </w:rPr>
      </w:pPr>
      <w:r>
        <w:rPr>
          <w:rFonts w:ascii="Tahoma" w:hAnsi="Tahoma" w:cs="Tahoma" w:hint="eastAsia"/>
          <w:color w:val="222222"/>
          <w:kern w:val="0"/>
          <w:sz w:val="26"/>
          <w:szCs w:val="26"/>
        </w:rPr>
        <w:t>按：</w:t>
      </w:r>
      <w:r w:rsidR="00904E2F">
        <w:rPr>
          <w:rFonts w:ascii="Tahoma" w:hAnsi="Tahoma" w:cs="Tahoma" w:hint="eastAsia"/>
          <w:color w:val="222222"/>
          <w:kern w:val="0"/>
          <w:sz w:val="26"/>
          <w:szCs w:val="26"/>
        </w:rPr>
        <w:t>上圖顯示，今年二月（一月仍屬龍年）至九月</w:t>
      </w:r>
      <w:r w:rsidR="00D2483F">
        <w:rPr>
          <w:rFonts w:ascii="Tahoma" w:hAnsi="Tahoma" w:cs="Tahoma" w:hint="eastAsia"/>
          <w:color w:val="222222"/>
          <w:kern w:val="0"/>
          <w:sz w:val="26"/>
          <w:szCs w:val="26"/>
        </w:rPr>
        <w:t>出生</w:t>
      </w:r>
      <w:r w:rsidR="00904E2F">
        <w:rPr>
          <w:rFonts w:ascii="Tahoma" w:hAnsi="Tahoma" w:cs="Tahoma" w:hint="eastAsia"/>
          <w:color w:val="222222"/>
          <w:kern w:val="0"/>
          <w:sz w:val="26"/>
          <w:szCs w:val="26"/>
        </w:rPr>
        <w:t>嬰兒</w:t>
      </w:r>
      <w:r w:rsidR="00D2483F">
        <w:rPr>
          <w:rFonts w:ascii="Tahoma" w:hAnsi="Tahoma" w:cs="Tahoma" w:hint="eastAsia"/>
          <w:color w:val="222222"/>
          <w:kern w:val="0"/>
          <w:sz w:val="26"/>
          <w:szCs w:val="26"/>
        </w:rPr>
        <w:t>人</w:t>
      </w:r>
      <w:r w:rsidR="00904E2F">
        <w:rPr>
          <w:rFonts w:ascii="Tahoma" w:hAnsi="Tahoma" w:cs="Tahoma" w:hint="eastAsia"/>
          <w:color w:val="222222"/>
          <w:kern w:val="0"/>
          <w:sz w:val="26"/>
          <w:szCs w:val="26"/>
        </w:rPr>
        <w:t>數比龍年降低</w:t>
      </w:r>
      <w:r w:rsidR="00904E2F">
        <w:rPr>
          <w:rFonts w:ascii="Tahoma" w:hAnsi="Tahoma" w:cs="Tahoma" w:hint="eastAsia"/>
          <w:color w:val="222222"/>
          <w:kern w:val="0"/>
          <w:sz w:val="26"/>
          <w:szCs w:val="26"/>
        </w:rPr>
        <w:t>15%</w:t>
      </w:r>
      <w:r w:rsidR="00904E2F">
        <w:rPr>
          <w:rFonts w:ascii="Tahoma" w:hAnsi="Tahoma" w:cs="Tahoma" w:hint="eastAsia"/>
          <w:color w:val="222222"/>
          <w:kern w:val="0"/>
          <w:sz w:val="26"/>
          <w:szCs w:val="26"/>
        </w:rPr>
        <w:t>，甚至掉到低於兔年的水準。</w:t>
      </w:r>
    </w:p>
    <w:p w:rsidR="003856CE" w:rsidRPr="003856CE" w:rsidRDefault="008B07B3" w:rsidP="003856CE">
      <w:pPr>
        <w:widowControl/>
        <w:shd w:val="clear" w:color="auto" w:fill="FFFFFF"/>
        <w:rPr>
          <w:rFonts w:ascii="Tahoma" w:hAnsi="Tahoma" w:cs="Tahoma"/>
          <w:color w:val="222222"/>
          <w:kern w:val="0"/>
          <w:sz w:val="26"/>
          <w:szCs w:val="26"/>
        </w:rPr>
      </w:pP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 xml:space="preserve">　　</w:t>
      </w:r>
      <w:r w:rsidR="003856CE" w:rsidRPr="003856CE">
        <w:rPr>
          <w:rFonts w:ascii="Tahoma" w:hAnsi="Tahoma" w:cs="Tahoma"/>
          <w:color w:val="222222"/>
          <w:kern w:val="0"/>
          <w:sz w:val="26"/>
          <w:szCs w:val="26"/>
        </w:rPr>
        <w:t>國家政策不可腳痛醫腳，卻顧不了頭。台灣政策只顧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「</w:t>
      </w:r>
      <w:r w:rsidR="003856CE" w:rsidRPr="003856CE">
        <w:rPr>
          <w:rFonts w:ascii="Tahoma" w:hAnsi="Tahoma" w:cs="Tahoma"/>
          <w:color w:val="222222"/>
          <w:kern w:val="0"/>
          <w:sz w:val="26"/>
          <w:szCs w:val="26"/>
        </w:rPr>
        <w:t>催生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」</w:t>
      </w:r>
      <w:r w:rsidRPr="008B07B3">
        <w:rPr>
          <w:rFonts w:ascii="Tahoma" w:hAnsi="Tahoma" w:cs="Tahoma"/>
          <w:color w:val="222222"/>
          <w:kern w:val="0"/>
          <w:sz w:val="26"/>
          <w:szCs w:val="26"/>
        </w:rPr>
        <w:t>，</w:t>
      </w:r>
      <w:r w:rsidR="009525CF">
        <w:rPr>
          <w:rFonts w:ascii="Tahoma" w:hAnsi="Tahoma" w:cs="Tahoma" w:hint="eastAsia"/>
          <w:color w:val="222222"/>
          <w:kern w:val="0"/>
          <w:sz w:val="26"/>
          <w:szCs w:val="26"/>
        </w:rPr>
        <w:t>卻顧不了女性就業率。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大量預算編列於「</w:t>
      </w:r>
      <w:r w:rsidR="003856CE" w:rsidRPr="003856CE">
        <w:rPr>
          <w:rFonts w:ascii="Tahoma" w:hAnsi="Tahoma" w:cs="Tahoma"/>
          <w:color w:val="222222"/>
          <w:kern w:val="0"/>
          <w:sz w:val="26"/>
          <w:szCs w:val="26"/>
        </w:rPr>
        <w:t>未就業育兒津貼</w:t>
      </w:r>
      <w:r w:rsidR="009C5F91">
        <w:rPr>
          <w:rFonts w:ascii="Tahoma" w:hAnsi="Tahoma" w:cs="Tahoma" w:hint="eastAsia"/>
          <w:color w:val="222222"/>
          <w:kern w:val="0"/>
          <w:sz w:val="26"/>
          <w:szCs w:val="26"/>
        </w:rPr>
        <w:t>」</w:t>
      </w:r>
      <w:r w:rsidR="009525CF">
        <w:rPr>
          <w:rFonts w:ascii="Tahoma" w:hAnsi="Tahoma" w:cs="Tahoma" w:hint="eastAsia"/>
          <w:color w:val="222222"/>
          <w:kern w:val="0"/>
          <w:sz w:val="26"/>
          <w:szCs w:val="26"/>
        </w:rPr>
        <w:t>的</w:t>
      </w:r>
      <w:r w:rsidR="009C5F91">
        <w:rPr>
          <w:rFonts w:ascii="Tahoma" w:hAnsi="Tahoma" w:cs="Tahoma" w:hint="eastAsia"/>
          <w:color w:val="222222"/>
          <w:kern w:val="0"/>
          <w:sz w:val="26"/>
          <w:szCs w:val="26"/>
        </w:rPr>
        <w:t>結果</w:t>
      </w:r>
      <w:r w:rsidR="009525CF">
        <w:rPr>
          <w:rFonts w:ascii="Tahoma" w:hAnsi="Tahoma" w:cs="Tahoma" w:hint="eastAsia"/>
          <w:color w:val="222222"/>
          <w:kern w:val="0"/>
          <w:sz w:val="26"/>
          <w:szCs w:val="26"/>
        </w:rPr>
        <w:t>是</w:t>
      </w:r>
      <w:r w:rsidRPr="008B07B3">
        <w:rPr>
          <w:rFonts w:ascii="Tahoma" w:hAnsi="Tahoma" w:cs="Tahoma"/>
          <w:color w:val="222222"/>
          <w:kern w:val="0"/>
          <w:sz w:val="26"/>
          <w:szCs w:val="26"/>
        </w:rPr>
        <w:t>只能靠龍年短暫提振生育率，不僅於事無補，更將導致兩項可怕後果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：</w:t>
      </w:r>
      <w:r w:rsidR="003856CE" w:rsidRPr="003856CE">
        <w:rPr>
          <w:rFonts w:ascii="Tahoma" w:hAnsi="Tahoma" w:cs="Tahoma"/>
          <w:color w:val="222222"/>
          <w:kern w:val="0"/>
          <w:sz w:val="26"/>
          <w:szCs w:val="26"/>
        </w:rPr>
        <w:t>一，在低薪、就業不穩定、婚姻不穩定的今天，以政策鼓勵單薪家</w:t>
      </w:r>
      <w:r w:rsidRPr="008B07B3">
        <w:rPr>
          <w:rFonts w:ascii="Tahoma" w:hAnsi="Tahoma" w:cs="Tahoma"/>
          <w:color w:val="222222"/>
          <w:kern w:val="0"/>
          <w:sz w:val="26"/>
          <w:szCs w:val="26"/>
        </w:rPr>
        <w:t>庭生育，等於是誘導更多小孩成長於高風險家庭，將衍生許多社會負擔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。</w:t>
      </w:r>
      <w:r w:rsidR="003856CE" w:rsidRPr="003856CE">
        <w:rPr>
          <w:rFonts w:ascii="Tahoma" w:hAnsi="Tahoma" w:cs="Tahoma"/>
          <w:color w:val="222222"/>
          <w:kern w:val="0"/>
          <w:sz w:val="26"/>
          <w:szCs w:val="26"/>
        </w:rPr>
        <w:t>其二，在女性高壽的時代，若不能翻轉我國女性職涯曲線，將形成女性老年貧窮的棘手社會問題。</w:t>
      </w:r>
    </w:p>
    <w:p w:rsidR="003856CE" w:rsidRPr="003856CE" w:rsidRDefault="003856CE" w:rsidP="003856CE">
      <w:pPr>
        <w:widowControl/>
        <w:shd w:val="clear" w:color="auto" w:fill="FFFFFF"/>
        <w:rPr>
          <w:rFonts w:ascii="Tahoma" w:hAnsi="Tahoma" w:cs="Tahoma"/>
          <w:color w:val="222222"/>
          <w:kern w:val="0"/>
          <w:sz w:val="20"/>
          <w:szCs w:val="20"/>
        </w:rPr>
      </w:pPr>
    </w:p>
    <w:p w:rsidR="00D2483F" w:rsidRDefault="00D2483F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30BA4" w:rsidRPr="008B07B3" w:rsidRDefault="00830BA4" w:rsidP="00830BA4">
      <w:pPr>
        <w:rPr>
          <w:b/>
          <w:sz w:val="28"/>
          <w:szCs w:val="28"/>
        </w:rPr>
      </w:pPr>
      <w:r w:rsidRPr="008B07B3">
        <w:rPr>
          <w:rFonts w:hint="eastAsia"/>
          <w:b/>
          <w:sz w:val="28"/>
          <w:szCs w:val="28"/>
        </w:rPr>
        <w:lastRenderedPageBreak/>
        <w:t>表一：</w:t>
      </w:r>
      <w:r w:rsidRPr="008B07B3">
        <w:rPr>
          <w:rFonts w:hint="eastAsia"/>
          <w:b/>
          <w:sz w:val="28"/>
          <w:szCs w:val="28"/>
        </w:rPr>
        <w:t>2013</w:t>
      </w:r>
      <w:r w:rsidRPr="008B07B3">
        <w:rPr>
          <w:rFonts w:hint="eastAsia"/>
          <w:b/>
          <w:sz w:val="28"/>
          <w:szCs w:val="28"/>
        </w:rPr>
        <w:t>年社福預算「實物」與「現金」比例之國際比較</w:t>
      </w:r>
    </w:p>
    <w:tbl>
      <w:tblPr>
        <w:tblStyle w:val="-2"/>
        <w:tblW w:w="4457" w:type="dxa"/>
        <w:jc w:val="center"/>
        <w:tblBorders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554"/>
        <w:gridCol w:w="1554"/>
      </w:tblGrid>
      <w:tr w:rsidR="00A363E2" w:rsidRPr="00A363E2" w:rsidTr="0083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left w:val="single" w:sz="8" w:space="0" w:color="C0504D"/>
              <w:right w:val="single" w:sz="8" w:space="0" w:color="C0504D"/>
            </w:tcBorders>
            <w:shd w:val="clear" w:color="auto" w:fill="E5B8B7"/>
            <w:noWrap/>
            <w:hideMark/>
          </w:tcPr>
          <w:p w:rsidR="00830BA4" w:rsidRPr="00A363E2" w:rsidRDefault="00830BA4" w:rsidP="00851381">
            <w:pPr>
              <w:widowControl/>
              <w:jc w:val="center"/>
              <w:rPr>
                <w:rFonts w:ascii="新細明體" w:hAnsi="新細明體"/>
                <w:b w:val="0"/>
                <w:bCs w:val="0"/>
                <w:snapToGrid w:val="0"/>
                <w:color w:val="auto"/>
                <w:szCs w:val="28"/>
              </w:rPr>
            </w:pPr>
            <w:r w:rsidRPr="00A363E2">
              <w:rPr>
                <w:rFonts w:ascii="新細明體" w:hAnsi="新細明體" w:hint="eastAsia"/>
                <w:b w:val="0"/>
                <w:bCs w:val="0"/>
                <w:snapToGrid w:val="0"/>
                <w:color w:val="auto"/>
                <w:szCs w:val="28"/>
              </w:rPr>
              <w:t>國家</w:t>
            </w:r>
          </w:p>
        </w:tc>
        <w:tc>
          <w:tcPr>
            <w:tcW w:w="1554" w:type="dxa"/>
            <w:tcBorders>
              <w:left w:val="single" w:sz="8" w:space="0" w:color="C0504D"/>
            </w:tcBorders>
            <w:shd w:val="clear" w:color="auto" w:fill="E5B8B7"/>
          </w:tcPr>
          <w:p w:rsidR="00830BA4" w:rsidRPr="00A363E2" w:rsidRDefault="00830BA4" w:rsidP="0085138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 w:val="0"/>
                <w:bCs w:val="0"/>
                <w:snapToGrid w:val="0"/>
                <w:color w:val="auto"/>
                <w:szCs w:val="28"/>
              </w:rPr>
            </w:pPr>
            <w:r w:rsidRPr="00A363E2">
              <w:rPr>
                <w:rFonts w:ascii="新細明體" w:hAnsi="新細明體" w:hint="eastAsia"/>
                <w:b w:val="0"/>
                <w:bCs w:val="0"/>
                <w:snapToGrid w:val="0"/>
                <w:color w:val="auto"/>
                <w:szCs w:val="28"/>
              </w:rPr>
              <w:t>實物給付</w:t>
            </w:r>
          </w:p>
        </w:tc>
        <w:tc>
          <w:tcPr>
            <w:tcW w:w="1554" w:type="dxa"/>
            <w:tcBorders>
              <w:left w:val="single" w:sz="8" w:space="0" w:color="C0504D"/>
              <w:right w:val="single" w:sz="8" w:space="0" w:color="C0504D"/>
            </w:tcBorders>
            <w:shd w:val="clear" w:color="auto" w:fill="E5B8B7"/>
          </w:tcPr>
          <w:p w:rsidR="00830BA4" w:rsidRPr="00A363E2" w:rsidRDefault="00830BA4" w:rsidP="0085138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 w:val="0"/>
                <w:bCs w:val="0"/>
                <w:snapToGrid w:val="0"/>
                <w:color w:val="auto"/>
                <w:szCs w:val="28"/>
              </w:rPr>
            </w:pPr>
            <w:r w:rsidRPr="00A363E2">
              <w:rPr>
                <w:rFonts w:ascii="新細明體" w:hAnsi="新細明體" w:hint="eastAsia"/>
                <w:b w:val="0"/>
                <w:bCs w:val="0"/>
                <w:snapToGrid w:val="0"/>
                <w:color w:val="auto"/>
                <w:szCs w:val="28"/>
              </w:rPr>
              <w:t>現金給付</w:t>
            </w:r>
          </w:p>
        </w:tc>
      </w:tr>
      <w:tr w:rsidR="00A363E2" w:rsidRPr="00A363E2" w:rsidTr="00830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noWrap/>
            <w:vAlign w:val="center"/>
            <w:hideMark/>
          </w:tcPr>
          <w:p w:rsidR="00830BA4" w:rsidRPr="00A363E2" w:rsidRDefault="00830BA4" w:rsidP="00851381">
            <w:pPr>
              <w:widowControl/>
              <w:jc w:val="center"/>
              <w:rPr>
                <w:rFonts w:ascii="新細明體" w:hAnsi="新細明體"/>
                <w:bCs w:val="0"/>
                <w:snapToGrid w:val="0"/>
                <w:szCs w:val="28"/>
              </w:rPr>
            </w:pPr>
            <w:r w:rsidRPr="00A363E2">
              <w:rPr>
                <w:rFonts w:ascii="新細明體" w:hAnsi="新細明體" w:hint="eastAsia"/>
                <w:bCs w:val="0"/>
                <w:snapToGrid w:val="0"/>
                <w:szCs w:val="28"/>
              </w:rPr>
              <w:t>台灣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b/>
                <w:snapToGrid w:val="0"/>
                <w:szCs w:val="28"/>
              </w:rPr>
              <w:t>27.45%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b/>
                <w:snapToGrid w:val="0"/>
                <w:szCs w:val="28"/>
              </w:rPr>
              <w:t>72.55%</w:t>
            </w:r>
          </w:p>
        </w:tc>
      </w:tr>
      <w:tr w:rsidR="00A363E2" w:rsidRPr="00A363E2" w:rsidTr="00830BA4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Align w:val="center"/>
            <w:hideMark/>
          </w:tcPr>
          <w:p w:rsidR="00830BA4" w:rsidRPr="00A363E2" w:rsidRDefault="00830BA4" w:rsidP="00851381">
            <w:pPr>
              <w:widowControl/>
              <w:jc w:val="center"/>
              <w:rPr>
                <w:rFonts w:ascii="新細明體" w:hAnsi="新細明體"/>
                <w:b w:val="0"/>
                <w:bCs w:val="0"/>
                <w:snapToGrid w:val="0"/>
                <w:szCs w:val="28"/>
              </w:rPr>
            </w:pPr>
            <w:r w:rsidRPr="00A363E2">
              <w:rPr>
                <w:rFonts w:ascii="新細明體" w:hAnsi="新細明體" w:hint="eastAsia"/>
                <w:b w:val="0"/>
                <w:bCs w:val="0"/>
                <w:snapToGrid w:val="0"/>
                <w:szCs w:val="28"/>
              </w:rPr>
              <w:t>希臘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29.72%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70.28%</w:t>
            </w:r>
          </w:p>
        </w:tc>
      </w:tr>
      <w:tr w:rsidR="00A363E2" w:rsidRPr="00A363E2" w:rsidTr="00830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Align w:val="center"/>
            <w:hideMark/>
          </w:tcPr>
          <w:p w:rsidR="00830BA4" w:rsidRPr="00A363E2" w:rsidRDefault="00830BA4" w:rsidP="00851381">
            <w:pPr>
              <w:widowControl/>
              <w:jc w:val="center"/>
              <w:rPr>
                <w:rFonts w:ascii="新細明體" w:hAnsi="新細明體"/>
                <w:b w:val="0"/>
                <w:bCs w:val="0"/>
                <w:snapToGrid w:val="0"/>
                <w:szCs w:val="28"/>
              </w:rPr>
            </w:pPr>
            <w:r w:rsidRPr="00A363E2">
              <w:rPr>
                <w:rFonts w:ascii="新細明體" w:hAnsi="新細明體" w:hint="eastAsia"/>
                <w:b w:val="0"/>
                <w:bCs w:val="0"/>
                <w:snapToGrid w:val="0"/>
                <w:szCs w:val="28"/>
              </w:rPr>
              <w:t>葡萄牙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30.68%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69.32%</w:t>
            </w:r>
          </w:p>
        </w:tc>
      </w:tr>
      <w:tr w:rsidR="00A363E2" w:rsidRPr="00A363E2" w:rsidTr="00830BA4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Align w:val="center"/>
            <w:hideMark/>
          </w:tcPr>
          <w:p w:rsidR="00830BA4" w:rsidRPr="00A363E2" w:rsidRDefault="00830BA4" w:rsidP="00851381">
            <w:pPr>
              <w:widowControl/>
              <w:jc w:val="center"/>
              <w:rPr>
                <w:rFonts w:ascii="新細明體" w:hAnsi="新細明體"/>
                <w:b w:val="0"/>
                <w:bCs w:val="0"/>
                <w:snapToGrid w:val="0"/>
                <w:szCs w:val="28"/>
              </w:rPr>
            </w:pPr>
            <w:r w:rsidRPr="00A363E2">
              <w:rPr>
                <w:rFonts w:ascii="新細明體" w:hAnsi="新細明體" w:hint="eastAsia"/>
                <w:b w:val="0"/>
                <w:bCs w:val="0"/>
                <w:snapToGrid w:val="0"/>
                <w:szCs w:val="28"/>
              </w:rPr>
              <w:t>波蘭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30.7%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69.3%</w:t>
            </w:r>
          </w:p>
        </w:tc>
      </w:tr>
      <w:tr w:rsidR="00A363E2" w:rsidRPr="00A363E2" w:rsidTr="00830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Align w:val="center"/>
            <w:hideMark/>
          </w:tcPr>
          <w:p w:rsidR="00830BA4" w:rsidRPr="00A363E2" w:rsidRDefault="00830BA4" w:rsidP="00851381">
            <w:pPr>
              <w:widowControl/>
              <w:jc w:val="center"/>
              <w:rPr>
                <w:rFonts w:ascii="新細明體" w:hAnsi="新細明體"/>
                <w:b w:val="0"/>
                <w:bCs w:val="0"/>
                <w:snapToGrid w:val="0"/>
                <w:szCs w:val="28"/>
              </w:rPr>
            </w:pPr>
            <w:r w:rsidRPr="00A363E2">
              <w:rPr>
                <w:rFonts w:ascii="新細明體" w:hAnsi="新細明體" w:hint="eastAsia"/>
                <w:b w:val="0"/>
                <w:bCs w:val="0"/>
                <w:snapToGrid w:val="0"/>
                <w:szCs w:val="28"/>
              </w:rPr>
              <w:t>義大利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32.16%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67.84%</w:t>
            </w:r>
          </w:p>
        </w:tc>
      </w:tr>
      <w:tr w:rsidR="00A363E2" w:rsidRPr="00A363E2" w:rsidTr="00830BA4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rPr>
                <w:rFonts w:ascii="新細明體" w:hAnsi="新細明體"/>
                <w:b w:val="0"/>
                <w:bCs w:val="0"/>
                <w:snapToGrid w:val="0"/>
                <w:szCs w:val="28"/>
              </w:rPr>
            </w:pPr>
            <w:r w:rsidRPr="00A363E2">
              <w:rPr>
                <w:rFonts w:ascii="新細明體" w:hAnsi="新細明體" w:hint="eastAsia"/>
                <w:b w:val="0"/>
                <w:bCs w:val="0"/>
                <w:snapToGrid w:val="0"/>
                <w:szCs w:val="28"/>
              </w:rPr>
              <w:t>西班牙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35.74%</w:t>
            </w:r>
          </w:p>
        </w:tc>
        <w:tc>
          <w:tcPr>
            <w:tcW w:w="1554" w:type="dxa"/>
            <w:vAlign w:val="center"/>
          </w:tcPr>
          <w:p w:rsidR="00830BA4" w:rsidRPr="00A363E2" w:rsidRDefault="00830BA4" w:rsidP="008513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szCs w:val="28"/>
              </w:rPr>
            </w:pPr>
            <w:r w:rsidRPr="00A363E2">
              <w:rPr>
                <w:rFonts w:asciiTheme="minorHAnsi" w:hAnsiTheme="minorHAnsi"/>
                <w:snapToGrid w:val="0"/>
                <w:szCs w:val="28"/>
              </w:rPr>
              <w:t>64.26%</w:t>
            </w:r>
          </w:p>
        </w:tc>
      </w:tr>
    </w:tbl>
    <w:p w:rsidR="005514BA" w:rsidRDefault="001441BE" w:rsidP="00A302D0">
      <w:pPr>
        <w:rPr>
          <w:noProof/>
          <w:sz w:val="22"/>
        </w:rPr>
      </w:pPr>
      <w:r>
        <w:rPr>
          <w:rFonts w:hint="eastAsia"/>
          <w:noProof/>
          <w:sz w:val="22"/>
        </w:rPr>
        <w:t xml:space="preserve">                    </w:t>
      </w:r>
      <w:r w:rsidR="005514BA">
        <w:rPr>
          <w:rFonts w:hint="eastAsia"/>
          <w:noProof/>
          <w:sz w:val="22"/>
        </w:rPr>
        <w:t xml:space="preserve">                  </w:t>
      </w:r>
      <w:r>
        <w:rPr>
          <w:rFonts w:hint="eastAsia"/>
          <w:noProof/>
          <w:sz w:val="22"/>
        </w:rPr>
        <w:t xml:space="preserve"> </w:t>
      </w:r>
      <w:r w:rsidR="00830BA4" w:rsidRPr="008B07B3">
        <w:rPr>
          <w:rFonts w:hint="eastAsia"/>
          <w:noProof/>
          <w:sz w:val="22"/>
        </w:rPr>
        <w:t>資料來源：立法院預算中心〈中央政府</w:t>
      </w:r>
      <w:r w:rsidR="00830BA4" w:rsidRPr="008B07B3">
        <w:rPr>
          <w:noProof/>
          <w:sz w:val="22"/>
        </w:rPr>
        <w:t>103</w:t>
      </w:r>
      <w:r>
        <w:rPr>
          <w:rFonts w:hint="eastAsia"/>
          <w:noProof/>
          <w:sz w:val="22"/>
        </w:rPr>
        <w:t xml:space="preserve">                     </w:t>
      </w:r>
      <w:r w:rsidR="005514BA">
        <w:rPr>
          <w:rFonts w:hint="eastAsia"/>
          <w:noProof/>
          <w:sz w:val="22"/>
        </w:rPr>
        <w:t xml:space="preserve">   </w:t>
      </w:r>
    </w:p>
    <w:p w:rsidR="00D2483F" w:rsidRDefault="005514BA" w:rsidP="00A302D0">
      <w:pPr>
        <w:rPr>
          <w:noProof/>
          <w:sz w:val="22"/>
        </w:rPr>
      </w:pPr>
      <w:r>
        <w:rPr>
          <w:rFonts w:hint="eastAsia"/>
          <w:noProof/>
          <w:sz w:val="22"/>
        </w:rPr>
        <w:t xml:space="preserve">                                                          </w:t>
      </w:r>
      <w:r w:rsidR="00805EF3">
        <w:rPr>
          <w:rFonts w:hint="eastAsia"/>
          <w:noProof/>
          <w:sz w:val="22"/>
        </w:rPr>
        <w:t xml:space="preserve"> </w:t>
      </w:r>
      <w:r w:rsidR="000F2DEA" w:rsidRPr="008B07B3">
        <w:rPr>
          <w:rFonts w:hint="eastAsia"/>
          <w:noProof/>
          <w:sz w:val="22"/>
        </w:rPr>
        <w:t>年</w:t>
      </w:r>
      <w:r w:rsidR="00830BA4" w:rsidRPr="008B07B3">
        <w:rPr>
          <w:rFonts w:hint="eastAsia"/>
          <w:noProof/>
          <w:sz w:val="22"/>
        </w:rPr>
        <w:t>度預算評估報告〉</w:t>
      </w:r>
    </w:p>
    <w:p w:rsidR="005514BA" w:rsidRDefault="005514BA" w:rsidP="00A302D0">
      <w:pPr>
        <w:rPr>
          <w:rFonts w:ascii="新細明體" w:hAnsi="新細明體"/>
          <w:snapToGrid w:val="0"/>
          <w:szCs w:val="28"/>
        </w:rPr>
      </w:pPr>
    </w:p>
    <w:p w:rsidR="00025026" w:rsidRPr="00A363E2" w:rsidRDefault="001441BE" w:rsidP="00A302D0">
      <w:r>
        <w:rPr>
          <w:rFonts w:ascii="新細明體" w:hAnsi="新細明體" w:hint="eastAsia"/>
          <w:snapToGrid w:val="0"/>
          <w:szCs w:val="28"/>
        </w:rPr>
        <w:t>按：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「</w:t>
      </w:r>
      <w:r>
        <w:rPr>
          <w:rFonts w:ascii="Tahoma" w:hAnsi="Tahoma" w:cs="Tahoma" w:hint="eastAsia"/>
          <w:color w:val="222222"/>
          <w:kern w:val="0"/>
          <w:sz w:val="26"/>
          <w:szCs w:val="26"/>
        </w:rPr>
        <w:t>現金給付</w:t>
      </w:r>
      <w:r w:rsidRPr="008B07B3">
        <w:rPr>
          <w:rFonts w:ascii="Tahoma" w:hAnsi="Tahoma" w:cs="Tahoma" w:hint="eastAsia"/>
          <w:color w:val="222222"/>
          <w:kern w:val="0"/>
          <w:sz w:val="26"/>
          <w:szCs w:val="26"/>
        </w:rPr>
        <w:t>」</w:t>
      </w:r>
      <w:r>
        <w:rPr>
          <w:rFonts w:ascii="Tahoma" w:hAnsi="Tahoma" w:cs="Tahoma" w:hint="eastAsia"/>
          <w:color w:val="222222"/>
          <w:kern w:val="0"/>
          <w:sz w:val="26"/>
          <w:szCs w:val="26"/>
        </w:rPr>
        <w:t>指的是發放現金的福利方案，</w:t>
      </w:r>
      <w:r w:rsidR="009525CF">
        <w:rPr>
          <w:rFonts w:ascii="Tahoma" w:hAnsi="Tahoma" w:cs="Tahoma" w:hint="eastAsia"/>
          <w:color w:val="222222"/>
          <w:kern w:val="0"/>
          <w:sz w:val="26"/>
          <w:szCs w:val="26"/>
        </w:rPr>
        <w:t>例如</w:t>
      </w:r>
      <w:r w:rsidR="009525CF" w:rsidRPr="009525CF">
        <w:rPr>
          <w:rFonts w:ascii="Tahoma" w:hAnsi="Tahoma" w:cs="Tahoma" w:hint="eastAsia"/>
          <w:color w:val="222222"/>
          <w:kern w:val="0"/>
          <w:sz w:val="26"/>
          <w:szCs w:val="26"/>
        </w:rPr>
        <w:t>「</w:t>
      </w:r>
      <w:r w:rsidR="009525CF">
        <w:rPr>
          <w:rFonts w:ascii="Tahoma" w:hAnsi="Tahoma" w:cs="Tahoma" w:hint="eastAsia"/>
          <w:color w:val="222222"/>
          <w:kern w:val="0"/>
          <w:sz w:val="26"/>
          <w:szCs w:val="26"/>
        </w:rPr>
        <w:t>未就業育兒津貼</w:t>
      </w:r>
      <w:r w:rsidR="009525CF" w:rsidRPr="009525CF">
        <w:rPr>
          <w:rFonts w:ascii="Tahoma" w:hAnsi="Tahoma" w:cs="Tahoma" w:hint="eastAsia"/>
          <w:color w:val="222222"/>
          <w:kern w:val="0"/>
          <w:sz w:val="26"/>
          <w:szCs w:val="26"/>
        </w:rPr>
        <w:t>」</w:t>
      </w:r>
      <w:r w:rsidR="009525CF">
        <w:rPr>
          <w:rFonts w:ascii="Tahoma" w:hAnsi="Tahoma" w:cs="Tahoma" w:hint="eastAsia"/>
          <w:color w:val="222222"/>
          <w:kern w:val="0"/>
          <w:sz w:val="26"/>
          <w:szCs w:val="26"/>
        </w:rPr>
        <w:t>。</w:t>
      </w:r>
      <w:r w:rsidRPr="001441BE">
        <w:rPr>
          <w:rFonts w:ascii="Tahoma" w:hAnsi="Tahoma" w:cs="Tahoma" w:hint="eastAsia"/>
          <w:color w:val="222222"/>
          <w:kern w:val="0"/>
          <w:sz w:val="26"/>
          <w:szCs w:val="26"/>
        </w:rPr>
        <w:t>「</w:t>
      </w:r>
      <w:r>
        <w:rPr>
          <w:rFonts w:ascii="Tahoma" w:hAnsi="Tahoma" w:cs="Tahoma" w:hint="eastAsia"/>
          <w:color w:val="222222"/>
          <w:kern w:val="0"/>
          <w:sz w:val="26"/>
          <w:szCs w:val="26"/>
        </w:rPr>
        <w:t>實物給付</w:t>
      </w:r>
      <w:r w:rsidRPr="001441BE">
        <w:rPr>
          <w:rFonts w:ascii="Tahoma" w:hAnsi="Tahoma" w:cs="Tahoma" w:hint="eastAsia"/>
          <w:color w:val="222222"/>
          <w:kern w:val="0"/>
          <w:sz w:val="26"/>
          <w:szCs w:val="26"/>
        </w:rPr>
        <w:t>」</w:t>
      </w:r>
      <w:r>
        <w:rPr>
          <w:rFonts w:ascii="Tahoma" w:hAnsi="Tahoma" w:cs="Tahoma" w:hint="eastAsia"/>
          <w:color w:val="222222"/>
          <w:kern w:val="0"/>
          <w:sz w:val="26"/>
          <w:szCs w:val="26"/>
        </w:rPr>
        <w:t>指的則是直接給予（托育、照護等）服務的福利方案。</w:t>
      </w:r>
    </w:p>
    <w:sectPr w:rsidR="00025026" w:rsidRPr="00A363E2" w:rsidSect="00BD56F6">
      <w:footerReference w:type="default" r:id="rId12"/>
      <w:pgSz w:w="11906" w:h="16838"/>
      <w:pgMar w:top="1440" w:right="147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69" w:rsidRDefault="004E6969" w:rsidP="009E3998">
      <w:r>
        <w:separator/>
      </w:r>
    </w:p>
  </w:endnote>
  <w:endnote w:type="continuationSeparator" w:id="0">
    <w:p w:rsidR="004E6969" w:rsidRDefault="004E6969" w:rsidP="009E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9B" w:rsidRDefault="00EA74E1">
    <w:pPr>
      <w:pStyle w:val="a5"/>
      <w:jc w:val="center"/>
    </w:pPr>
    <w:r>
      <w:fldChar w:fldCharType="begin"/>
    </w:r>
    <w:r w:rsidR="00112894">
      <w:instrText>PAGE   \* MERGEFORMAT</w:instrText>
    </w:r>
    <w:r>
      <w:fldChar w:fldCharType="separate"/>
    </w:r>
    <w:r w:rsidR="00D25525" w:rsidRPr="00D25525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3459B" w:rsidRDefault="007345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69" w:rsidRDefault="004E6969" w:rsidP="009E3998">
      <w:r>
        <w:separator/>
      </w:r>
    </w:p>
  </w:footnote>
  <w:footnote w:type="continuationSeparator" w:id="0">
    <w:p w:rsidR="004E6969" w:rsidRDefault="004E6969" w:rsidP="009E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0AD"/>
    <w:multiLevelType w:val="hybridMultilevel"/>
    <w:tmpl w:val="9AB6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8C2DF2"/>
    <w:multiLevelType w:val="hybridMultilevel"/>
    <w:tmpl w:val="3724AA9E"/>
    <w:lvl w:ilvl="0" w:tplc="69CAF5C0">
      <w:numFmt w:val="bullet"/>
      <w:lvlText w:val="-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7870EAD"/>
    <w:multiLevelType w:val="hybridMultilevel"/>
    <w:tmpl w:val="FD648FBE"/>
    <w:lvl w:ilvl="0" w:tplc="69CAF5C0">
      <w:numFmt w:val="bullet"/>
      <w:lvlText w:val="-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17E690F"/>
    <w:multiLevelType w:val="hybridMultilevel"/>
    <w:tmpl w:val="61CAEE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4C648E3"/>
    <w:multiLevelType w:val="hybridMultilevel"/>
    <w:tmpl w:val="E1BA41E2"/>
    <w:lvl w:ilvl="0" w:tplc="EF80CA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AAB4420"/>
    <w:multiLevelType w:val="hybridMultilevel"/>
    <w:tmpl w:val="2110C356"/>
    <w:lvl w:ilvl="0" w:tplc="1ACC6A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62F09F3"/>
    <w:multiLevelType w:val="hybridMultilevel"/>
    <w:tmpl w:val="B1963900"/>
    <w:lvl w:ilvl="0" w:tplc="69CAF5C0">
      <w:numFmt w:val="bullet"/>
      <w:lvlText w:val="-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E5F1A6E"/>
    <w:multiLevelType w:val="hybridMultilevel"/>
    <w:tmpl w:val="FEE65332"/>
    <w:lvl w:ilvl="0" w:tplc="A71425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1026764"/>
    <w:multiLevelType w:val="hybridMultilevel"/>
    <w:tmpl w:val="633A1E94"/>
    <w:lvl w:ilvl="0" w:tplc="69CAF5C0">
      <w:numFmt w:val="bullet"/>
      <w:lvlText w:val="-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58D20FA"/>
    <w:multiLevelType w:val="hybridMultilevel"/>
    <w:tmpl w:val="BB8C7E4C"/>
    <w:lvl w:ilvl="0" w:tplc="68A02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65616F6"/>
    <w:multiLevelType w:val="hybridMultilevel"/>
    <w:tmpl w:val="08FE6860"/>
    <w:lvl w:ilvl="0" w:tplc="69CAF5C0">
      <w:numFmt w:val="bullet"/>
      <w:lvlText w:val="-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500"/>
    <w:rsid w:val="00000B5E"/>
    <w:rsid w:val="000011DA"/>
    <w:rsid w:val="000036C9"/>
    <w:rsid w:val="000207F7"/>
    <w:rsid w:val="00024BE0"/>
    <w:rsid w:val="00025026"/>
    <w:rsid w:val="00037B39"/>
    <w:rsid w:val="00037F78"/>
    <w:rsid w:val="00041BC8"/>
    <w:rsid w:val="00050BB0"/>
    <w:rsid w:val="0005122E"/>
    <w:rsid w:val="00073C20"/>
    <w:rsid w:val="000771FA"/>
    <w:rsid w:val="0008384F"/>
    <w:rsid w:val="000906A0"/>
    <w:rsid w:val="0009480C"/>
    <w:rsid w:val="000A346B"/>
    <w:rsid w:val="000B39C7"/>
    <w:rsid w:val="000B6E4F"/>
    <w:rsid w:val="000B7D86"/>
    <w:rsid w:val="000C0370"/>
    <w:rsid w:val="000C0B78"/>
    <w:rsid w:val="000C1832"/>
    <w:rsid w:val="000C23DB"/>
    <w:rsid w:val="000D37D6"/>
    <w:rsid w:val="000D4008"/>
    <w:rsid w:val="000D64DD"/>
    <w:rsid w:val="000D7A8E"/>
    <w:rsid w:val="000E0D20"/>
    <w:rsid w:val="000E2344"/>
    <w:rsid w:val="000E71C6"/>
    <w:rsid w:val="000E7C72"/>
    <w:rsid w:val="000F2DEA"/>
    <w:rsid w:val="000F7EDB"/>
    <w:rsid w:val="00110355"/>
    <w:rsid w:val="00112894"/>
    <w:rsid w:val="00130C51"/>
    <w:rsid w:val="001339A3"/>
    <w:rsid w:val="001430F5"/>
    <w:rsid w:val="001441BE"/>
    <w:rsid w:val="00175527"/>
    <w:rsid w:val="00177641"/>
    <w:rsid w:val="00180F6F"/>
    <w:rsid w:val="00187B79"/>
    <w:rsid w:val="0019106C"/>
    <w:rsid w:val="001C30AE"/>
    <w:rsid w:val="001C469E"/>
    <w:rsid w:val="001D2C67"/>
    <w:rsid w:val="001D3C9E"/>
    <w:rsid w:val="001F1659"/>
    <w:rsid w:val="001F2BDA"/>
    <w:rsid w:val="001F7552"/>
    <w:rsid w:val="00201D9F"/>
    <w:rsid w:val="0020392A"/>
    <w:rsid w:val="0020709B"/>
    <w:rsid w:val="00213EE1"/>
    <w:rsid w:val="0022129F"/>
    <w:rsid w:val="00221E90"/>
    <w:rsid w:val="0024404D"/>
    <w:rsid w:val="00244A8F"/>
    <w:rsid w:val="002471C0"/>
    <w:rsid w:val="002602F1"/>
    <w:rsid w:val="00261E58"/>
    <w:rsid w:val="0026222B"/>
    <w:rsid w:val="00263EED"/>
    <w:rsid w:val="002717A2"/>
    <w:rsid w:val="002718FC"/>
    <w:rsid w:val="00273C69"/>
    <w:rsid w:val="00283526"/>
    <w:rsid w:val="00285391"/>
    <w:rsid w:val="00291613"/>
    <w:rsid w:val="0029354C"/>
    <w:rsid w:val="002A76D2"/>
    <w:rsid w:val="002B25E2"/>
    <w:rsid w:val="002C12CF"/>
    <w:rsid w:val="002C390C"/>
    <w:rsid w:val="002C7893"/>
    <w:rsid w:val="002D1D7E"/>
    <w:rsid w:val="002D646E"/>
    <w:rsid w:val="002E00E5"/>
    <w:rsid w:val="002E1163"/>
    <w:rsid w:val="002F5338"/>
    <w:rsid w:val="002F673B"/>
    <w:rsid w:val="00313C9E"/>
    <w:rsid w:val="00317679"/>
    <w:rsid w:val="003178AB"/>
    <w:rsid w:val="00317DBE"/>
    <w:rsid w:val="00334654"/>
    <w:rsid w:val="00337E93"/>
    <w:rsid w:val="00343339"/>
    <w:rsid w:val="00345907"/>
    <w:rsid w:val="003536C2"/>
    <w:rsid w:val="003856CE"/>
    <w:rsid w:val="0038575A"/>
    <w:rsid w:val="00393A90"/>
    <w:rsid w:val="00395AC3"/>
    <w:rsid w:val="003A6572"/>
    <w:rsid w:val="003B71E1"/>
    <w:rsid w:val="003C2E17"/>
    <w:rsid w:val="003E0061"/>
    <w:rsid w:val="003E5461"/>
    <w:rsid w:val="003F1FD2"/>
    <w:rsid w:val="00402832"/>
    <w:rsid w:val="00422A62"/>
    <w:rsid w:val="004259BC"/>
    <w:rsid w:val="004305C8"/>
    <w:rsid w:val="00433645"/>
    <w:rsid w:val="00436772"/>
    <w:rsid w:val="0045246A"/>
    <w:rsid w:val="00454F75"/>
    <w:rsid w:val="004705DD"/>
    <w:rsid w:val="00473CD8"/>
    <w:rsid w:val="004A153E"/>
    <w:rsid w:val="004A2A73"/>
    <w:rsid w:val="004A57CA"/>
    <w:rsid w:val="004B52D9"/>
    <w:rsid w:val="004C3E64"/>
    <w:rsid w:val="004D6E45"/>
    <w:rsid w:val="004E6969"/>
    <w:rsid w:val="004E7961"/>
    <w:rsid w:val="004F30A0"/>
    <w:rsid w:val="00500B55"/>
    <w:rsid w:val="00502FB5"/>
    <w:rsid w:val="005031CC"/>
    <w:rsid w:val="00503582"/>
    <w:rsid w:val="005122F1"/>
    <w:rsid w:val="00542B48"/>
    <w:rsid w:val="005514BA"/>
    <w:rsid w:val="00556386"/>
    <w:rsid w:val="005714CD"/>
    <w:rsid w:val="00572B7A"/>
    <w:rsid w:val="00574CF1"/>
    <w:rsid w:val="00576EC6"/>
    <w:rsid w:val="0058196F"/>
    <w:rsid w:val="005A5ED2"/>
    <w:rsid w:val="005A7387"/>
    <w:rsid w:val="005B5472"/>
    <w:rsid w:val="005B611A"/>
    <w:rsid w:val="005C1DC1"/>
    <w:rsid w:val="005C4040"/>
    <w:rsid w:val="005C69C9"/>
    <w:rsid w:val="005D0A7C"/>
    <w:rsid w:val="005D2994"/>
    <w:rsid w:val="005E2972"/>
    <w:rsid w:val="006009C0"/>
    <w:rsid w:val="006057D0"/>
    <w:rsid w:val="00612079"/>
    <w:rsid w:val="006160CB"/>
    <w:rsid w:val="00617379"/>
    <w:rsid w:val="00624678"/>
    <w:rsid w:val="00633D5A"/>
    <w:rsid w:val="00634231"/>
    <w:rsid w:val="00634455"/>
    <w:rsid w:val="0064220F"/>
    <w:rsid w:val="0064483B"/>
    <w:rsid w:val="00652AEB"/>
    <w:rsid w:val="00662E76"/>
    <w:rsid w:val="006644B1"/>
    <w:rsid w:val="00674CA7"/>
    <w:rsid w:val="00686EFB"/>
    <w:rsid w:val="0069371F"/>
    <w:rsid w:val="0069487D"/>
    <w:rsid w:val="00696A17"/>
    <w:rsid w:val="006A5932"/>
    <w:rsid w:val="006A6273"/>
    <w:rsid w:val="006B1452"/>
    <w:rsid w:val="006D0E86"/>
    <w:rsid w:val="006D3B07"/>
    <w:rsid w:val="006E5D88"/>
    <w:rsid w:val="006E6239"/>
    <w:rsid w:val="006F01CB"/>
    <w:rsid w:val="006F134E"/>
    <w:rsid w:val="006F362C"/>
    <w:rsid w:val="006F39B3"/>
    <w:rsid w:val="006F3C8B"/>
    <w:rsid w:val="006F4500"/>
    <w:rsid w:val="007060AD"/>
    <w:rsid w:val="00710523"/>
    <w:rsid w:val="00711656"/>
    <w:rsid w:val="0071346D"/>
    <w:rsid w:val="00720898"/>
    <w:rsid w:val="007209AE"/>
    <w:rsid w:val="00723E02"/>
    <w:rsid w:val="007265C2"/>
    <w:rsid w:val="0073370F"/>
    <w:rsid w:val="0073459B"/>
    <w:rsid w:val="007413C3"/>
    <w:rsid w:val="00746E2C"/>
    <w:rsid w:val="00746E4E"/>
    <w:rsid w:val="00747FD9"/>
    <w:rsid w:val="00751E93"/>
    <w:rsid w:val="00756DA4"/>
    <w:rsid w:val="00757DDC"/>
    <w:rsid w:val="007656C6"/>
    <w:rsid w:val="00773614"/>
    <w:rsid w:val="0077694F"/>
    <w:rsid w:val="00785976"/>
    <w:rsid w:val="00797927"/>
    <w:rsid w:val="007B01FB"/>
    <w:rsid w:val="007B6016"/>
    <w:rsid w:val="007C3DD1"/>
    <w:rsid w:val="007C50BD"/>
    <w:rsid w:val="007D0EB7"/>
    <w:rsid w:val="007D18C5"/>
    <w:rsid w:val="007F1312"/>
    <w:rsid w:val="00801B1D"/>
    <w:rsid w:val="00805EF3"/>
    <w:rsid w:val="00812B03"/>
    <w:rsid w:val="00814D4C"/>
    <w:rsid w:val="00820088"/>
    <w:rsid w:val="00820A5E"/>
    <w:rsid w:val="00822F8E"/>
    <w:rsid w:val="00830BA4"/>
    <w:rsid w:val="00832872"/>
    <w:rsid w:val="00833322"/>
    <w:rsid w:val="00842477"/>
    <w:rsid w:val="0085190E"/>
    <w:rsid w:val="00852F5F"/>
    <w:rsid w:val="008564C1"/>
    <w:rsid w:val="00865689"/>
    <w:rsid w:val="00896FD9"/>
    <w:rsid w:val="008A3A3C"/>
    <w:rsid w:val="008B07B3"/>
    <w:rsid w:val="008B784F"/>
    <w:rsid w:val="008C5BDD"/>
    <w:rsid w:val="008D5FF3"/>
    <w:rsid w:val="008F50F9"/>
    <w:rsid w:val="008F6399"/>
    <w:rsid w:val="009006DB"/>
    <w:rsid w:val="00901220"/>
    <w:rsid w:val="0090468E"/>
    <w:rsid w:val="00904E2F"/>
    <w:rsid w:val="009050CE"/>
    <w:rsid w:val="00906842"/>
    <w:rsid w:val="00927ED1"/>
    <w:rsid w:val="00933CCE"/>
    <w:rsid w:val="009340D6"/>
    <w:rsid w:val="00940421"/>
    <w:rsid w:val="00940E1C"/>
    <w:rsid w:val="00942D6C"/>
    <w:rsid w:val="00944ACB"/>
    <w:rsid w:val="009525CF"/>
    <w:rsid w:val="00956189"/>
    <w:rsid w:val="0096474B"/>
    <w:rsid w:val="00965657"/>
    <w:rsid w:val="00975D3B"/>
    <w:rsid w:val="0099135E"/>
    <w:rsid w:val="00991367"/>
    <w:rsid w:val="009972DA"/>
    <w:rsid w:val="009A079B"/>
    <w:rsid w:val="009A08F9"/>
    <w:rsid w:val="009A1468"/>
    <w:rsid w:val="009B14AD"/>
    <w:rsid w:val="009C468C"/>
    <w:rsid w:val="009C5F91"/>
    <w:rsid w:val="009D41C4"/>
    <w:rsid w:val="009E3998"/>
    <w:rsid w:val="009E5E79"/>
    <w:rsid w:val="009F201B"/>
    <w:rsid w:val="009F2A99"/>
    <w:rsid w:val="009F38EC"/>
    <w:rsid w:val="009F4BE8"/>
    <w:rsid w:val="009F6EE6"/>
    <w:rsid w:val="00A21A85"/>
    <w:rsid w:val="00A271D0"/>
    <w:rsid w:val="00A302D0"/>
    <w:rsid w:val="00A30B06"/>
    <w:rsid w:val="00A363E2"/>
    <w:rsid w:val="00A467F2"/>
    <w:rsid w:val="00A51156"/>
    <w:rsid w:val="00A6109C"/>
    <w:rsid w:val="00A650B1"/>
    <w:rsid w:val="00A77716"/>
    <w:rsid w:val="00A8127C"/>
    <w:rsid w:val="00AA4C68"/>
    <w:rsid w:val="00AB1727"/>
    <w:rsid w:val="00AD136E"/>
    <w:rsid w:val="00AE051E"/>
    <w:rsid w:val="00AE1787"/>
    <w:rsid w:val="00AE7B62"/>
    <w:rsid w:val="00AF5F53"/>
    <w:rsid w:val="00B02A6A"/>
    <w:rsid w:val="00B03AB9"/>
    <w:rsid w:val="00B05F79"/>
    <w:rsid w:val="00B10C70"/>
    <w:rsid w:val="00B10EC6"/>
    <w:rsid w:val="00B15E07"/>
    <w:rsid w:val="00B21EFC"/>
    <w:rsid w:val="00B233B0"/>
    <w:rsid w:val="00B23561"/>
    <w:rsid w:val="00B76ECE"/>
    <w:rsid w:val="00B87722"/>
    <w:rsid w:val="00B95BD8"/>
    <w:rsid w:val="00BA2549"/>
    <w:rsid w:val="00BB310B"/>
    <w:rsid w:val="00BC0552"/>
    <w:rsid w:val="00BC1848"/>
    <w:rsid w:val="00BC3F4A"/>
    <w:rsid w:val="00BC48EA"/>
    <w:rsid w:val="00BD1F34"/>
    <w:rsid w:val="00BD56F6"/>
    <w:rsid w:val="00BF31C1"/>
    <w:rsid w:val="00BF397C"/>
    <w:rsid w:val="00BF5355"/>
    <w:rsid w:val="00C0363D"/>
    <w:rsid w:val="00C06BBE"/>
    <w:rsid w:val="00C1417A"/>
    <w:rsid w:val="00C15F8B"/>
    <w:rsid w:val="00C23C23"/>
    <w:rsid w:val="00C62297"/>
    <w:rsid w:val="00C6354B"/>
    <w:rsid w:val="00C66D56"/>
    <w:rsid w:val="00C76101"/>
    <w:rsid w:val="00C82E58"/>
    <w:rsid w:val="00C85F6F"/>
    <w:rsid w:val="00C9467E"/>
    <w:rsid w:val="00C95FEE"/>
    <w:rsid w:val="00C97058"/>
    <w:rsid w:val="00CA567D"/>
    <w:rsid w:val="00CA7385"/>
    <w:rsid w:val="00CC22C7"/>
    <w:rsid w:val="00CC4956"/>
    <w:rsid w:val="00CC5874"/>
    <w:rsid w:val="00CD1E78"/>
    <w:rsid w:val="00CD1EA6"/>
    <w:rsid w:val="00CD23F4"/>
    <w:rsid w:val="00CD302E"/>
    <w:rsid w:val="00CD7397"/>
    <w:rsid w:val="00CE2D4F"/>
    <w:rsid w:val="00CF1ACA"/>
    <w:rsid w:val="00CF4F39"/>
    <w:rsid w:val="00D0760D"/>
    <w:rsid w:val="00D1207E"/>
    <w:rsid w:val="00D2483F"/>
    <w:rsid w:val="00D25525"/>
    <w:rsid w:val="00D3075F"/>
    <w:rsid w:val="00D30948"/>
    <w:rsid w:val="00D30A93"/>
    <w:rsid w:val="00D44AD2"/>
    <w:rsid w:val="00D45069"/>
    <w:rsid w:val="00D464D6"/>
    <w:rsid w:val="00D52EBA"/>
    <w:rsid w:val="00D6390A"/>
    <w:rsid w:val="00D660A6"/>
    <w:rsid w:val="00D729BB"/>
    <w:rsid w:val="00D74B5A"/>
    <w:rsid w:val="00D76236"/>
    <w:rsid w:val="00D77255"/>
    <w:rsid w:val="00D847A6"/>
    <w:rsid w:val="00D865E1"/>
    <w:rsid w:val="00D95E83"/>
    <w:rsid w:val="00D95F4A"/>
    <w:rsid w:val="00DA61BC"/>
    <w:rsid w:val="00DB01C1"/>
    <w:rsid w:val="00DC0D44"/>
    <w:rsid w:val="00DC1F63"/>
    <w:rsid w:val="00DC229B"/>
    <w:rsid w:val="00DC4CF9"/>
    <w:rsid w:val="00DC747A"/>
    <w:rsid w:val="00DD4669"/>
    <w:rsid w:val="00DE4AEE"/>
    <w:rsid w:val="00DE5FF9"/>
    <w:rsid w:val="00DF7C1A"/>
    <w:rsid w:val="00E02A7C"/>
    <w:rsid w:val="00E0780D"/>
    <w:rsid w:val="00E20E84"/>
    <w:rsid w:val="00E22C1E"/>
    <w:rsid w:val="00E4118E"/>
    <w:rsid w:val="00E430DF"/>
    <w:rsid w:val="00E624FF"/>
    <w:rsid w:val="00E750AC"/>
    <w:rsid w:val="00E75BAD"/>
    <w:rsid w:val="00E93852"/>
    <w:rsid w:val="00E9429D"/>
    <w:rsid w:val="00E974A7"/>
    <w:rsid w:val="00EA4C36"/>
    <w:rsid w:val="00EA5DF1"/>
    <w:rsid w:val="00EA74E1"/>
    <w:rsid w:val="00EC1236"/>
    <w:rsid w:val="00EE3F48"/>
    <w:rsid w:val="00EF4981"/>
    <w:rsid w:val="00EF599C"/>
    <w:rsid w:val="00F2262F"/>
    <w:rsid w:val="00F2687A"/>
    <w:rsid w:val="00F36D87"/>
    <w:rsid w:val="00F45CC6"/>
    <w:rsid w:val="00F61E9D"/>
    <w:rsid w:val="00F62269"/>
    <w:rsid w:val="00F635F0"/>
    <w:rsid w:val="00F673EC"/>
    <w:rsid w:val="00F677C6"/>
    <w:rsid w:val="00F7185D"/>
    <w:rsid w:val="00F72988"/>
    <w:rsid w:val="00F77B94"/>
    <w:rsid w:val="00F87229"/>
    <w:rsid w:val="00F87562"/>
    <w:rsid w:val="00F9142B"/>
    <w:rsid w:val="00F97F92"/>
    <w:rsid w:val="00FA2C92"/>
    <w:rsid w:val="00FA40CA"/>
    <w:rsid w:val="00FD2AF5"/>
    <w:rsid w:val="00FE1627"/>
    <w:rsid w:val="00FE5EE5"/>
    <w:rsid w:val="00FF456E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3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E399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E3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E3998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semiHidden/>
    <w:rsid w:val="009E399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uiPriority w:val="99"/>
    <w:rsid w:val="009E3998"/>
    <w:rPr>
      <w:rFonts w:cs="Times New Roman"/>
    </w:rPr>
  </w:style>
  <w:style w:type="paragraph" w:styleId="a7">
    <w:name w:val="List Paragraph"/>
    <w:basedOn w:val="a"/>
    <w:uiPriority w:val="99"/>
    <w:qFormat/>
    <w:rsid w:val="009E3998"/>
    <w:pPr>
      <w:ind w:leftChars="200" w:left="480"/>
    </w:pPr>
  </w:style>
  <w:style w:type="character" w:styleId="a8">
    <w:name w:val="Hyperlink"/>
    <w:basedOn w:val="a0"/>
    <w:uiPriority w:val="99"/>
    <w:semiHidden/>
    <w:rsid w:val="00A30B0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820A5E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820A5E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rsid w:val="004D6E4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4D6E45"/>
  </w:style>
  <w:style w:type="character" w:customStyle="1" w:styleId="ad">
    <w:name w:val="註解文字 字元"/>
    <w:basedOn w:val="a0"/>
    <w:link w:val="ac"/>
    <w:uiPriority w:val="99"/>
    <w:semiHidden/>
    <w:locked/>
    <w:rsid w:val="00EA74E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4D6E4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EA74E1"/>
    <w:rPr>
      <w:rFonts w:cs="Times New Roman"/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A302D0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A302D0"/>
  </w:style>
  <w:style w:type="table" w:styleId="-2">
    <w:name w:val="Light List Accent 2"/>
    <w:basedOn w:val="a1"/>
    <w:uiPriority w:val="61"/>
    <w:rsid w:val="00830BA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A363E2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A363E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363E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363E2"/>
    <w:pPr>
      <w:snapToGrid w:val="0"/>
    </w:pPr>
  </w:style>
  <w:style w:type="character" w:customStyle="1" w:styleId="af6">
    <w:name w:val="章節附註文字 字元"/>
    <w:basedOn w:val="a0"/>
    <w:link w:val="af5"/>
    <w:uiPriority w:val="99"/>
    <w:semiHidden/>
    <w:rsid w:val="00A363E2"/>
  </w:style>
  <w:style w:type="character" w:styleId="af7">
    <w:name w:val="endnote reference"/>
    <w:basedOn w:val="a0"/>
    <w:uiPriority w:val="99"/>
    <w:semiHidden/>
    <w:unhideWhenUsed/>
    <w:rsid w:val="00A363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3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E399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E3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E3998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semiHidden/>
    <w:rsid w:val="009E399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uiPriority w:val="99"/>
    <w:rsid w:val="009E3998"/>
    <w:rPr>
      <w:rFonts w:cs="Times New Roman"/>
    </w:rPr>
  </w:style>
  <w:style w:type="paragraph" w:styleId="a7">
    <w:name w:val="List Paragraph"/>
    <w:basedOn w:val="a"/>
    <w:uiPriority w:val="99"/>
    <w:qFormat/>
    <w:rsid w:val="009E3998"/>
    <w:pPr>
      <w:ind w:leftChars="200" w:left="480"/>
    </w:pPr>
  </w:style>
  <w:style w:type="character" w:styleId="a8">
    <w:name w:val="Hyperlink"/>
    <w:basedOn w:val="a0"/>
    <w:uiPriority w:val="99"/>
    <w:semiHidden/>
    <w:rsid w:val="00A30B0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820A5E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820A5E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rsid w:val="004D6E4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4D6E45"/>
  </w:style>
  <w:style w:type="character" w:customStyle="1" w:styleId="ad">
    <w:name w:val="註解文字 字元"/>
    <w:basedOn w:val="a0"/>
    <w:link w:val="ac"/>
    <w:uiPriority w:val="99"/>
    <w:semiHidden/>
    <w:locked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4D6E4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Pr>
      <w:rFonts w:cs="Times New Roman"/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A302D0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A302D0"/>
  </w:style>
  <w:style w:type="table" w:styleId="-2">
    <w:name w:val="Light List Accent 2"/>
    <w:basedOn w:val="a1"/>
    <w:uiPriority w:val="61"/>
    <w:rsid w:val="00830BA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A363E2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A363E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363E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363E2"/>
    <w:pPr>
      <w:snapToGrid w:val="0"/>
    </w:pPr>
  </w:style>
  <w:style w:type="character" w:customStyle="1" w:styleId="af6">
    <w:name w:val="章節附註文字 字元"/>
    <w:basedOn w:val="a0"/>
    <w:link w:val="af5"/>
    <w:uiPriority w:val="99"/>
    <w:semiHidden/>
    <w:rsid w:val="00A363E2"/>
  </w:style>
  <w:style w:type="character" w:styleId="af7">
    <w:name w:val="endnote reference"/>
    <w:basedOn w:val="a0"/>
    <w:uiPriority w:val="99"/>
    <w:semiHidden/>
    <w:unhideWhenUsed/>
    <w:rsid w:val="00A3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eggy\Desktop\&#26032;&#22686;&#36039;&#26009;&#22846;\2012&#19977;&#22283;&#20154;&#21475;&#21450;&#23601;&#26989;&#20462;&#3533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peggy\Desktop\&#26032;&#22686;&#36039;&#26009;&#22846;\2012&#19977;&#22283;&#20154;&#21475;&#21450;&#23601;&#26989;&#20462;&#3533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ggy\Desktop\&#26032;&#22686;&#36039;&#26009;&#22846;\&#21508;&#24180;&#20986;&#29983;&#20154;&#259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6222824446536474"/>
          <c:y val="0.18102354856654271"/>
          <c:w val="0.67741979693692245"/>
          <c:h val="0.57986784169244787"/>
        </c:manualLayout>
      </c:layout>
      <c:lineChart>
        <c:grouping val="standard"/>
        <c:varyColors val="0"/>
        <c:ser>
          <c:idx val="0"/>
          <c:order val="0"/>
          <c:tx>
            <c:strRef>
              <c:f>新聞稿1!$B$1</c:f>
              <c:strCache>
                <c:ptCount val="1"/>
                <c:pt idx="0">
                  <c:v>瑞典</c:v>
                </c:pt>
              </c:strCache>
            </c:strRef>
          </c:tx>
          <c:spPr>
            <a:ln w="38100">
              <a:solidFill>
                <a:srgbClr val="009900"/>
              </a:solidFill>
            </a:ln>
          </c:spPr>
          <c:marker>
            <c:symbol val="none"/>
          </c:marker>
          <c:dPt>
            <c:idx val="16"/>
            <c:bubble3D val="0"/>
            <c:spPr>
              <a:ln w="38100">
                <a:noFill/>
              </a:ln>
            </c:spPr>
          </c:dPt>
          <c:cat>
            <c:numRef>
              <c:f>新聞稿1!$A$2:$A$18</c:f>
              <c:numCache>
                <c:formatCode>General</c:formatCode>
                <c:ptCount val="17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新聞稿1!$B$2:$B$18</c:f>
              <c:numCache>
                <c:formatCode>0.0_ </c:formatCode>
                <c:ptCount val="17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  <c:pt idx="4">
                  <c:v>1.6</c:v>
                </c:pt>
                <c:pt idx="5">
                  <c:v>1.6</c:v>
                </c:pt>
                <c:pt idx="6">
                  <c:v>1.7</c:v>
                </c:pt>
                <c:pt idx="7">
                  <c:v>1.7</c:v>
                </c:pt>
                <c:pt idx="8">
                  <c:v>1.8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2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新聞稿1!$C$1</c:f>
              <c:strCache>
                <c:ptCount val="1"/>
                <c:pt idx="0">
                  <c:v>俄羅斯</c:v>
                </c:pt>
              </c:strCache>
            </c:strRef>
          </c:tx>
          <c:spPr>
            <a:ln w="38100">
              <a:solidFill>
                <a:srgbClr val="0070C0"/>
              </a:solidFill>
            </a:ln>
          </c:spPr>
          <c:marker>
            <c:symbol val="none"/>
          </c:marker>
          <c:dPt>
            <c:idx val="16"/>
            <c:bubble3D val="0"/>
            <c:spPr>
              <a:ln w="38100">
                <a:noFill/>
              </a:ln>
            </c:spPr>
          </c:dPt>
          <c:cat>
            <c:numRef>
              <c:f>新聞稿1!$A$2:$A$18</c:f>
              <c:numCache>
                <c:formatCode>General</c:formatCode>
                <c:ptCount val="17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新聞稿1!$C$2:$C$18</c:f>
              <c:numCache>
                <c:formatCode>0.0_ </c:formatCode>
                <c:ptCount val="17"/>
                <c:pt idx="0">
                  <c:v>1.2</c:v>
                </c:pt>
                <c:pt idx="1">
                  <c:v>1.2</c:v>
                </c:pt>
                <c:pt idx="2">
                  <c:v>1.2</c:v>
                </c:pt>
                <c:pt idx="3">
                  <c:v>1.2</c:v>
                </c:pt>
                <c:pt idx="4">
                  <c:v>1.3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1.3</c:v>
                </c:pt>
                <c:pt idx="9">
                  <c:v>1.3</c:v>
                </c:pt>
                <c:pt idx="10">
                  <c:v>1.4</c:v>
                </c:pt>
                <c:pt idx="11">
                  <c:v>1.5</c:v>
                </c:pt>
                <c:pt idx="12">
                  <c:v>1.5</c:v>
                </c:pt>
                <c:pt idx="13">
                  <c:v>1.6</c:v>
                </c:pt>
                <c:pt idx="14">
                  <c:v>1.6</c:v>
                </c:pt>
                <c:pt idx="15">
                  <c:v>1.6</c:v>
                </c:pt>
                <c:pt idx="16">
                  <c:v>1.7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新聞稿1!$D$1</c:f>
              <c:strCache>
                <c:ptCount val="1"/>
                <c:pt idx="0">
                  <c:v>台灣</c:v>
                </c:pt>
              </c:strCache>
            </c:strRef>
          </c:tx>
          <c:spPr>
            <a:ln w="41275">
              <a:solidFill>
                <a:srgbClr val="EE0000"/>
              </a:solidFill>
            </a:ln>
          </c:spPr>
          <c:marker>
            <c:symbol val="none"/>
          </c:marker>
          <c:dLbls>
            <c:dLbl>
              <c:idx val="16"/>
              <c:layout>
                <c:manualLayout>
                  <c:x val="-8.7069616731901528E-2"/>
                  <c:y val="2.6944980153536302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 sz="1050">
                        <a:solidFill>
                          <a:srgbClr val="FF0000"/>
                        </a:solidFill>
                        <a:latin typeface="Calibri" panose="020F0502020204030204" pitchFamily="34" charset="0"/>
                        <a:ea typeface="微軟正黑體" panose="020B0604030504040204" pitchFamily="34" charset="-120"/>
                      </a:rPr>
                      <a:t>推估</a:t>
                    </a:r>
                    <a:r>
                      <a:rPr lang="en-US" altLang="en-US" sz="1200">
                        <a:solidFill>
                          <a:srgbClr val="FF0000"/>
                        </a:solidFill>
                        <a:latin typeface="Calibri" panose="020F0502020204030204" pitchFamily="34" charset="0"/>
                        <a:ea typeface="微軟正黑體" panose="020B0604030504040204" pitchFamily="34" charset="-120"/>
                      </a:rPr>
                      <a:t>1.06 </a:t>
                    </a:r>
                    <a:endParaRPr lang="en-US" altLang="en-US" sz="1400">
                      <a:solidFill>
                        <a:srgbClr val="FF0000"/>
                      </a:solidFill>
                      <a:latin typeface="Calibri" panose="020F0502020204030204" pitchFamily="34" charset="0"/>
                      <a:ea typeface="微軟正黑體" panose="020B0604030504040204" pitchFamily="34" charset="-12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新聞稿1!$A$2:$A$18</c:f>
              <c:numCache>
                <c:formatCode>General</c:formatCode>
                <c:ptCount val="17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</c:numCache>
            </c:numRef>
          </c:cat>
          <c:val>
            <c:numRef>
              <c:f>新聞稿1!$D$2:$D$18</c:f>
              <c:numCache>
                <c:formatCode>0.0_ </c:formatCode>
                <c:ptCount val="17"/>
                <c:pt idx="0">
                  <c:v>1.8</c:v>
                </c:pt>
                <c:pt idx="1">
                  <c:v>1.5</c:v>
                </c:pt>
                <c:pt idx="2">
                  <c:v>1.6</c:v>
                </c:pt>
                <c:pt idx="3">
                  <c:v>1.7</c:v>
                </c:pt>
                <c:pt idx="4">
                  <c:v>1.4</c:v>
                </c:pt>
                <c:pt idx="5">
                  <c:v>1.3</c:v>
                </c:pt>
                <c:pt idx="6">
                  <c:v>1.2</c:v>
                </c:pt>
                <c:pt idx="7">
                  <c:v>1.2</c:v>
                </c:pt>
                <c:pt idx="8">
                  <c:v>1.1000000000000001</c:v>
                </c:pt>
                <c:pt idx="9">
                  <c:v>1.1000000000000001</c:v>
                </c:pt>
                <c:pt idx="10">
                  <c:v>1.1000000000000001</c:v>
                </c:pt>
                <c:pt idx="11">
                  <c:v>1</c:v>
                </c:pt>
                <c:pt idx="12">
                  <c:v>1</c:v>
                </c:pt>
                <c:pt idx="13">
                  <c:v>0.9</c:v>
                </c:pt>
                <c:pt idx="14">
                  <c:v>1.1000000000000001</c:v>
                </c:pt>
                <c:pt idx="15" formatCode="0.00_ ">
                  <c:v>1.27</c:v>
                </c:pt>
                <c:pt idx="16" formatCode="0.00_ ">
                  <c:v>1.06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744000"/>
        <c:axId val="141745536"/>
      </c:lineChart>
      <c:catAx>
        <c:axId val="14174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+mn-lt"/>
              </a:defRPr>
            </a:pPr>
            <a:endParaRPr lang="zh-TW"/>
          </a:p>
        </c:txPr>
        <c:crossAx val="141745536"/>
        <c:crosses val="autoZero"/>
        <c:auto val="1"/>
        <c:lblAlgn val="ctr"/>
        <c:lblOffset val="100"/>
        <c:tickLblSkip val="2"/>
        <c:noMultiLvlLbl val="0"/>
      </c:catAx>
      <c:valAx>
        <c:axId val="141745536"/>
        <c:scaling>
          <c:orientation val="minMax"/>
          <c:max val="2"/>
          <c:min val="0.9"/>
        </c:scaling>
        <c:delete val="0"/>
        <c:axPos val="l"/>
        <c:majorGridlines>
          <c:spPr>
            <a:ln>
              <a:solidFill>
                <a:schemeClr val="tx1">
                  <a:lumMod val="50000"/>
                  <a:lumOff val="50000"/>
                  <a:alpha val="21000"/>
                </a:schemeClr>
              </a:solidFill>
            </a:ln>
          </c:spPr>
        </c:majorGridlines>
        <c:numFmt formatCode="0.0_ 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+mn-lt"/>
                <a:ea typeface="微軟正黑體" panose="020B0604030504040204" pitchFamily="34" charset="-120"/>
              </a:defRPr>
            </a:pPr>
            <a:endParaRPr lang="zh-TW"/>
          </a:p>
        </c:txPr>
        <c:crossAx val="141744000"/>
        <c:crosses val="autoZero"/>
        <c:crossBetween val="between"/>
        <c:majorUnit val="0.1"/>
      </c:valAx>
      <c:spPr>
        <a:solidFill>
          <a:schemeClr val="bg1">
            <a:lumMod val="95000"/>
            <a:alpha val="95000"/>
          </a:schemeClr>
        </a:solidFill>
        <a:ln>
          <a:solidFill>
            <a:schemeClr val="tx1">
              <a:lumMod val="50000"/>
              <a:lumOff val="50000"/>
            </a:schemeClr>
          </a:solidFill>
        </a:ln>
        <a:effectLst>
          <a:outerShdw blurRad="152400" dist="38100" dir="8100000" sx="1000" sy="1000" algn="tr" rotWithShape="0">
            <a:prstClr val="black">
              <a:alpha val="0"/>
            </a:prstClr>
          </a:outerShdw>
        </a:effectLst>
      </c:spPr>
    </c:plotArea>
    <c:legend>
      <c:legendPos val="r"/>
      <c:legendEntry>
        <c:idx val="0"/>
        <c:txPr>
          <a:bodyPr/>
          <a:lstStyle/>
          <a:p>
            <a:pPr>
              <a:defRPr sz="1050">
                <a:latin typeface="微軟正黑體" panose="020B0604030504040204" pitchFamily="34" charset="-120"/>
                <a:ea typeface="微軟正黑體" panose="020B0604030504040204" pitchFamily="34" charset="-120"/>
              </a:defRPr>
            </a:pPr>
            <a:endParaRPr lang="zh-TW"/>
          </a:p>
        </c:txPr>
      </c:legendEntry>
      <c:legendEntry>
        <c:idx val="1"/>
        <c:txPr>
          <a:bodyPr/>
          <a:lstStyle/>
          <a:p>
            <a:pPr>
              <a:defRPr sz="1050">
                <a:latin typeface="微軟正黑體" panose="020B0604030504040204" pitchFamily="34" charset="-120"/>
                <a:ea typeface="微軟正黑體" panose="020B0604030504040204" pitchFamily="34" charset="-120"/>
              </a:defRPr>
            </a:pPr>
            <a:endParaRPr lang="zh-TW"/>
          </a:p>
        </c:txPr>
      </c:legendEntry>
      <c:legendEntry>
        <c:idx val="2"/>
        <c:txPr>
          <a:bodyPr/>
          <a:lstStyle/>
          <a:p>
            <a:pPr>
              <a:defRPr sz="1050">
                <a:latin typeface="微軟正黑體" panose="020B0604030504040204" pitchFamily="34" charset="-120"/>
                <a:ea typeface="微軟正黑體" panose="020B0604030504040204" pitchFamily="34" charset="-120"/>
              </a:defRPr>
            </a:pPr>
            <a:endParaRPr lang="zh-TW"/>
          </a:p>
        </c:txPr>
      </c:legendEntry>
      <c:layout>
        <c:manualLayout>
          <c:xMode val="edge"/>
          <c:yMode val="edge"/>
          <c:x val="0.28468167586590626"/>
          <c:y val="0.78393093962437332"/>
          <c:w val="0.45739003741150874"/>
          <c:h val="0.18175113656397093"/>
        </c:manualLayout>
      </c:layout>
      <c:overlay val="0"/>
      <c:txPr>
        <a:bodyPr/>
        <a:lstStyle/>
        <a:p>
          <a:pPr>
            <a:defRPr sz="1050">
              <a:latin typeface="微軟正黑體" panose="020B0604030504040204" pitchFamily="34" charset="-120"/>
              <a:ea typeface="微軟正黑體" panose="020B0604030504040204" pitchFamily="34" charset="-120"/>
            </a:defRPr>
          </a:pPr>
          <a:endParaRPr lang="zh-TW"/>
        </a:p>
      </c:txPr>
    </c:legend>
    <c:plotVisOnly val="1"/>
    <c:dispBlanksAs val="gap"/>
    <c:showDLblsOverMax val="0"/>
  </c:chart>
  <c:txPr>
    <a:bodyPr/>
    <a:lstStyle/>
    <a:p>
      <a:pPr>
        <a:defRPr sz="1400" b="1"/>
      </a:pPr>
      <a:endParaRPr lang="zh-TW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749563033214727"/>
          <c:y val="0.18696191676850771"/>
          <c:w val="0.67479115052016625"/>
          <c:h val="0.58293766333959451"/>
        </c:manualLayout>
      </c:layout>
      <c:lineChart>
        <c:grouping val="standard"/>
        <c:varyColors val="0"/>
        <c:ser>
          <c:idx val="0"/>
          <c:order val="0"/>
          <c:tx>
            <c:strRef>
              <c:f>'OECD stat (2)'!$A$3</c:f>
              <c:strCache>
                <c:ptCount val="1"/>
                <c:pt idx="0">
                  <c:v>瑞典</c:v>
                </c:pt>
              </c:strCache>
            </c:strRef>
          </c:tx>
          <c:spPr>
            <a:ln w="47625">
              <a:solidFill>
                <a:srgbClr val="009900"/>
              </a:solidFill>
              <a:prstDash val="solid"/>
            </a:ln>
          </c:spPr>
          <c:marker>
            <c:symbol val="none"/>
          </c:marker>
          <c:cat>
            <c:strRef>
              <c:f>'OECD stat (2)'!$B$2:$L$2</c:f>
              <c:strCache>
                <c:ptCount val="11"/>
                <c:pt idx="0">
                  <c:v>15-19歲  </c:v>
                </c:pt>
                <c:pt idx="1">
                  <c:v>20-24歲      </c:v>
                </c:pt>
                <c:pt idx="2">
                  <c:v>25-29歲  </c:v>
                </c:pt>
                <c:pt idx="3">
                  <c:v>30-34歲 </c:v>
                </c:pt>
                <c:pt idx="4">
                  <c:v>35- 39歲</c:v>
                </c:pt>
                <c:pt idx="5">
                  <c:v>40 - 44歲</c:v>
                </c:pt>
                <c:pt idx="6">
                  <c:v>45 - 49歲</c:v>
                </c:pt>
                <c:pt idx="7">
                  <c:v> 50 - 54歲 </c:v>
                </c:pt>
                <c:pt idx="8">
                  <c:v> 55 - 59歲 </c:v>
                </c:pt>
                <c:pt idx="9">
                  <c:v> 60 - 64歲 </c:v>
                </c:pt>
                <c:pt idx="10">
                  <c:v>65歲以上</c:v>
                </c:pt>
              </c:strCache>
            </c:strRef>
          </c:cat>
          <c:val>
            <c:numRef>
              <c:f>'OECD stat (2)'!$B$3:$L$3</c:f>
              <c:numCache>
                <c:formatCode>_-* #,##0_-;\-* #,##0_-;_-* "-"??_-;_-@_-</c:formatCode>
                <c:ptCount val="11"/>
                <c:pt idx="0" formatCode="0.0_);[Red]\(0.0\)">
                  <c:v>35.4</c:v>
                </c:pt>
                <c:pt idx="1">
                  <c:v>69</c:v>
                </c:pt>
                <c:pt idx="2" formatCode="@">
                  <c:v>81.400000000000006</c:v>
                </c:pt>
                <c:pt idx="3" formatCode="@">
                  <c:v>86.2</c:v>
                </c:pt>
                <c:pt idx="4" formatCode="@">
                  <c:v>89</c:v>
                </c:pt>
                <c:pt idx="5" formatCode="@">
                  <c:v>90.6</c:v>
                </c:pt>
                <c:pt idx="6" formatCode="@">
                  <c:v>89.7</c:v>
                </c:pt>
                <c:pt idx="7" formatCode="@">
                  <c:v>87.8</c:v>
                </c:pt>
                <c:pt idx="8" formatCode="@">
                  <c:v>83.3</c:v>
                </c:pt>
                <c:pt idx="9" formatCode="@">
                  <c:v>63.3</c:v>
                </c:pt>
                <c:pt idx="10" formatCode="@">
                  <c:v>11.4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'OECD stat (2)'!$A$4</c:f>
              <c:strCache>
                <c:ptCount val="1"/>
                <c:pt idx="0">
                  <c:v>俄羅斯</c:v>
                </c:pt>
              </c:strCache>
            </c:strRef>
          </c:tx>
          <c:spPr>
            <a:ln w="47625">
              <a:solidFill>
                <a:srgbClr val="0067B4"/>
              </a:solidFill>
              <a:prstDash val="solid"/>
            </a:ln>
          </c:spPr>
          <c:marker>
            <c:symbol val="none"/>
          </c:marker>
          <c:cat>
            <c:strRef>
              <c:f>'OECD stat (2)'!$B$2:$L$2</c:f>
              <c:strCache>
                <c:ptCount val="11"/>
                <c:pt idx="0">
                  <c:v>15-19歲  </c:v>
                </c:pt>
                <c:pt idx="1">
                  <c:v>20-24歲      </c:v>
                </c:pt>
                <c:pt idx="2">
                  <c:v>25-29歲  </c:v>
                </c:pt>
                <c:pt idx="3">
                  <c:v>30-34歲 </c:v>
                </c:pt>
                <c:pt idx="4">
                  <c:v>35- 39歲</c:v>
                </c:pt>
                <c:pt idx="5">
                  <c:v>40 - 44歲</c:v>
                </c:pt>
                <c:pt idx="6">
                  <c:v>45 - 49歲</c:v>
                </c:pt>
                <c:pt idx="7">
                  <c:v> 50 - 54歲 </c:v>
                </c:pt>
                <c:pt idx="8">
                  <c:v> 55 - 59歲 </c:v>
                </c:pt>
                <c:pt idx="9">
                  <c:v> 60 - 64歲 </c:v>
                </c:pt>
                <c:pt idx="10">
                  <c:v>65歲以上</c:v>
                </c:pt>
              </c:strCache>
            </c:strRef>
          </c:cat>
          <c:val>
            <c:numRef>
              <c:f>'OECD stat (2)'!$B$4:$L$4</c:f>
              <c:numCache>
                <c:formatCode>@</c:formatCode>
                <c:ptCount val="11"/>
                <c:pt idx="0">
                  <c:v>7.5</c:v>
                </c:pt>
                <c:pt idx="1">
                  <c:v>53.1</c:v>
                </c:pt>
                <c:pt idx="2">
                  <c:v>81.599999999999994</c:v>
                </c:pt>
                <c:pt idx="3">
                  <c:v>85</c:v>
                </c:pt>
                <c:pt idx="4">
                  <c:v>88.9</c:v>
                </c:pt>
                <c:pt idx="5">
                  <c:v>91.2</c:v>
                </c:pt>
                <c:pt idx="6">
                  <c:v>90.6</c:v>
                </c:pt>
                <c:pt idx="7">
                  <c:v>84.3</c:v>
                </c:pt>
                <c:pt idx="8">
                  <c:v>52.9</c:v>
                </c:pt>
                <c:pt idx="9">
                  <c:v>24.9</c:v>
                </c:pt>
                <c:pt idx="10">
                  <c:v>8.9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'OECD stat (2)'!$A$5</c:f>
              <c:strCache>
                <c:ptCount val="1"/>
                <c:pt idx="0">
                  <c:v>台灣</c:v>
                </c:pt>
              </c:strCache>
            </c:strRef>
          </c:tx>
          <c:spPr>
            <a:ln w="47625">
              <a:solidFill>
                <a:srgbClr val="DA0000"/>
              </a:solidFill>
              <a:prstDash val="solid"/>
            </a:ln>
          </c:spPr>
          <c:marker>
            <c:symbol val="none"/>
          </c:marker>
          <c:cat>
            <c:strRef>
              <c:f>'OECD stat (2)'!$B$2:$L$2</c:f>
              <c:strCache>
                <c:ptCount val="11"/>
                <c:pt idx="0">
                  <c:v>15-19歲  </c:v>
                </c:pt>
                <c:pt idx="1">
                  <c:v>20-24歲      </c:v>
                </c:pt>
                <c:pt idx="2">
                  <c:v>25-29歲  </c:v>
                </c:pt>
                <c:pt idx="3">
                  <c:v>30-34歲 </c:v>
                </c:pt>
                <c:pt idx="4">
                  <c:v>35- 39歲</c:v>
                </c:pt>
                <c:pt idx="5">
                  <c:v>40 - 44歲</c:v>
                </c:pt>
                <c:pt idx="6">
                  <c:v>45 - 49歲</c:v>
                </c:pt>
                <c:pt idx="7">
                  <c:v> 50 - 54歲 </c:v>
                </c:pt>
                <c:pt idx="8">
                  <c:v> 55 - 59歲 </c:v>
                </c:pt>
                <c:pt idx="9">
                  <c:v> 60 - 64歲 </c:v>
                </c:pt>
                <c:pt idx="10">
                  <c:v>65歲以上</c:v>
                </c:pt>
              </c:strCache>
            </c:strRef>
          </c:cat>
          <c:val>
            <c:numRef>
              <c:f>'OECD stat (2)'!$B$5:$L$5</c:f>
              <c:numCache>
                <c:formatCode>@</c:formatCode>
                <c:ptCount val="11"/>
                <c:pt idx="0">
                  <c:v>8.15</c:v>
                </c:pt>
                <c:pt idx="1">
                  <c:v>54.73</c:v>
                </c:pt>
                <c:pt idx="2">
                  <c:v>89.22</c:v>
                </c:pt>
                <c:pt idx="3">
                  <c:v>78.08</c:v>
                </c:pt>
                <c:pt idx="4">
                  <c:v>74</c:v>
                </c:pt>
                <c:pt idx="5">
                  <c:v>73.17</c:v>
                </c:pt>
                <c:pt idx="6">
                  <c:v>66.09</c:v>
                </c:pt>
                <c:pt idx="7">
                  <c:v>52.89</c:v>
                </c:pt>
                <c:pt idx="8">
                  <c:v>36.36</c:v>
                </c:pt>
                <c:pt idx="9">
                  <c:v>18.670000000000002</c:v>
                </c:pt>
                <c:pt idx="10">
                  <c:v>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169216"/>
        <c:axId val="142170752"/>
      </c:lineChart>
      <c:catAx>
        <c:axId val="142169216"/>
        <c:scaling>
          <c:orientation val="minMax"/>
        </c:scaling>
        <c:delete val="0"/>
        <c:axPos val="b"/>
        <c:majorTickMark val="none"/>
        <c:minorTickMark val="in"/>
        <c:tickLblPos val="nextTo"/>
        <c:txPr>
          <a:bodyPr/>
          <a:lstStyle/>
          <a:p>
            <a:pPr>
              <a:defRPr sz="1200" b="1">
                <a:latin typeface="+mn-lt"/>
                <a:ea typeface="微軟正黑體" panose="020B0604030504040204" pitchFamily="34" charset="-120"/>
              </a:defRPr>
            </a:pPr>
            <a:endParaRPr lang="zh-TW"/>
          </a:p>
        </c:txPr>
        <c:crossAx val="142170752"/>
        <c:crosses val="autoZero"/>
        <c:auto val="1"/>
        <c:lblAlgn val="ctr"/>
        <c:lblOffset val="100"/>
        <c:tickLblSkip val="2"/>
        <c:noMultiLvlLbl val="0"/>
      </c:catAx>
      <c:valAx>
        <c:axId val="142170752"/>
        <c:scaling>
          <c:orientation val="minMax"/>
          <c:max val="10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0"/>
        <c:majorTickMark val="none"/>
        <c:minorTickMark val="none"/>
        <c:tickLblPos val="nextTo"/>
        <c:spPr>
          <a:effectLst/>
        </c:spPr>
        <c:txPr>
          <a:bodyPr/>
          <a:lstStyle/>
          <a:p>
            <a:pPr>
              <a:defRPr sz="1200" b="1">
                <a:latin typeface="+mn-lt"/>
              </a:defRPr>
            </a:pPr>
            <a:endParaRPr lang="zh-TW"/>
          </a:p>
        </c:txPr>
        <c:crossAx val="142169216"/>
        <c:crosses val="autoZero"/>
        <c:crossBetween val="between"/>
        <c:majorUnit val="10"/>
        <c:minorUnit val="2"/>
      </c:valAx>
      <c:spPr>
        <a:solidFill>
          <a:schemeClr val="bg1">
            <a:lumMod val="95000"/>
            <a:alpha val="50000"/>
          </a:schemeClr>
        </a:solidFill>
        <a:ln>
          <a:solidFill>
            <a:schemeClr val="bg1">
              <a:lumMod val="75000"/>
            </a:schemeClr>
          </a:solidFill>
        </a:ln>
        <a:effectLst/>
      </c:spPr>
    </c:plotArea>
    <c:legend>
      <c:legendPos val="r"/>
      <c:layout>
        <c:manualLayout>
          <c:xMode val="edge"/>
          <c:yMode val="edge"/>
          <c:x val="0.85579889378832674"/>
          <c:y val="0.19187005523160358"/>
          <c:w val="0.13566842107155666"/>
          <c:h val="0.525302415948415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000" b="1">
              <a:latin typeface="微軟正黑體" panose="020B0604030504040204" pitchFamily="34" charset="-120"/>
              <a:ea typeface="微軟正黑體" panose="020B0604030504040204" pitchFamily="34" charset="-120"/>
            </a:defRPr>
          </a:pPr>
          <a:endParaRPr lang="zh-TW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en-US">
                <a:latin typeface="微軟正黑體" pitchFamily="34" charset="-120"/>
                <a:ea typeface="微軟正黑體" pitchFamily="34" charset="-120"/>
              </a:rPr>
              <a:t>台灣近十年</a:t>
            </a:r>
            <a:r>
              <a:rPr lang="en-US" altLang="zh-TW">
                <a:latin typeface="微軟正黑體" pitchFamily="34" charset="-120"/>
                <a:ea typeface="微軟正黑體" pitchFamily="34" charset="-120"/>
              </a:rPr>
              <a:t>2-9</a:t>
            </a:r>
            <a:r>
              <a:rPr lang="zh-TW" altLang="en-US">
                <a:latin typeface="微軟正黑體" pitchFamily="34" charset="-120"/>
                <a:ea typeface="微軟正黑體" pitchFamily="34" charset="-120"/>
              </a:rPr>
              <a:t>月出生嬰兒數圖</a:t>
            </a:r>
            <a:endParaRPr lang="en-US" altLang="zh-TW">
              <a:latin typeface="微軟正黑體" pitchFamily="34" charset="-120"/>
              <a:ea typeface="微軟正黑體" pitchFamily="34" charset="-12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372932959998067"/>
          <c:y val="0.29825827567326757"/>
          <c:w val="0.81154084334560861"/>
          <c:h val="0.53278113497527113"/>
        </c:manualLayout>
      </c:layout>
      <c:lineChart>
        <c:grouping val="standard"/>
        <c:varyColors val="0"/>
        <c:ser>
          <c:idx val="0"/>
          <c:order val="0"/>
          <c:tx>
            <c:v>出生數(千人)</c:v>
          </c:tx>
          <c:spPr>
            <a:ln w="31750">
              <a:solidFill>
                <a:srgbClr val="FF0000"/>
              </a:solidFill>
            </a:ln>
          </c:spPr>
          <c:marker>
            <c:symbol val="none"/>
          </c:marker>
          <c:dPt>
            <c:idx val="0"/>
            <c:marker>
              <c:symbol val="diamond"/>
              <c:size val="8"/>
              <c:spPr>
                <a:solidFill>
                  <a:srgbClr val="FF0000"/>
                </a:solidFill>
                <a:ln>
                  <a:noFill/>
                </a:ln>
              </c:spPr>
            </c:marker>
            <c:bubble3D val="0"/>
          </c:dPt>
          <c:dPt>
            <c:idx val="8"/>
            <c:marker>
              <c:symbol val="diamond"/>
              <c:size val="8"/>
              <c:spPr>
                <a:solidFill>
                  <a:srgbClr val="FF0000"/>
                </a:solidFill>
                <a:ln>
                  <a:noFill/>
                </a:ln>
              </c:spPr>
            </c:marker>
            <c:bubble3D val="0"/>
          </c:dPt>
          <c:dPt>
            <c:idx val="9"/>
            <c:marker>
              <c:symbol val="diamond"/>
              <c:size val="8"/>
              <c:spPr>
                <a:solidFill>
                  <a:srgbClr val="FF0000"/>
                </a:solidFill>
                <a:ln>
                  <a:noFill/>
                </a:ln>
              </c:spPr>
            </c:marker>
            <c:bubble3D val="0"/>
          </c:dPt>
          <c:dPt>
            <c:idx val="10"/>
            <c:bubble3D val="0"/>
            <c:spPr>
              <a:ln w="31750">
                <a:solidFill>
                  <a:srgbClr val="FF0000"/>
                </a:solidFill>
                <a:tailEnd type="arrow"/>
              </a:ln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2052759709384153"/>
                  <c:y val="-7.418950297307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8943542029678722E-2"/>
                  <c:y val="2.0233465514686813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125,527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'近十年數據及圖表 (2)'!$E$25:$E$35</c:f>
              <c:numCache>
                <c:formatCode>General</c:formatCode>
                <c:ptCount val="11"/>
                <c:pt idx="0">
                  <c:v>92</c:v>
                </c:pt>
                <c:pt idx="1">
                  <c:v>93</c:v>
                </c:pt>
                <c:pt idx="2">
                  <c:v>94</c:v>
                </c:pt>
                <c:pt idx="3">
                  <c:v>95</c:v>
                </c:pt>
                <c:pt idx="4">
                  <c:v>96</c:v>
                </c:pt>
                <c:pt idx="5">
                  <c:v>97</c:v>
                </c:pt>
                <c:pt idx="6">
                  <c:v>98</c:v>
                </c:pt>
                <c:pt idx="7">
                  <c:v>99</c:v>
                </c:pt>
                <c:pt idx="8">
                  <c:v>100</c:v>
                </c:pt>
                <c:pt idx="9">
                  <c:v>101</c:v>
                </c:pt>
                <c:pt idx="10">
                  <c:v>102</c:v>
                </c:pt>
              </c:numCache>
            </c:numRef>
          </c:cat>
          <c:val>
            <c:numRef>
              <c:f>'近十年數據及圖表 (2)'!$H$25:$H$35</c:f>
              <c:numCache>
                <c:formatCode>#,##0</c:formatCode>
                <c:ptCount val="11"/>
                <c:pt idx="0">
                  <c:v>146489</c:v>
                </c:pt>
                <c:pt idx="1">
                  <c:v>139922</c:v>
                </c:pt>
                <c:pt idx="2">
                  <c:v>133612</c:v>
                </c:pt>
                <c:pt idx="3">
                  <c:v>132744</c:v>
                </c:pt>
                <c:pt idx="4">
                  <c:v>128293</c:v>
                </c:pt>
                <c:pt idx="5">
                  <c:v>124443</c:v>
                </c:pt>
                <c:pt idx="6">
                  <c:v>124498</c:v>
                </c:pt>
                <c:pt idx="7">
                  <c:v>107175</c:v>
                </c:pt>
                <c:pt idx="8">
                  <c:v>127642</c:v>
                </c:pt>
                <c:pt idx="9">
                  <c:v>147632</c:v>
                </c:pt>
                <c:pt idx="10">
                  <c:v>125527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203520"/>
        <c:axId val="142209408"/>
      </c:lineChart>
      <c:catAx>
        <c:axId val="14220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2209408"/>
        <c:crosses val="autoZero"/>
        <c:auto val="1"/>
        <c:lblAlgn val="ctr"/>
        <c:lblOffset val="100"/>
        <c:noMultiLvlLbl val="0"/>
      </c:catAx>
      <c:valAx>
        <c:axId val="142209408"/>
        <c:scaling>
          <c:orientation val="minMax"/>
          <c:max val="150000"/>
          <c:min val="100000"/>
        </c:scaling>
        <c:delete val="0"/>
        <c:axPos val="l"/>
        <c:majorGridlines>
          <c:spPr>
            <a:ln>
              <a:solidFill>
                <a:sysClr val="window" lastClr="FFFFFF">
                  <a:lumMod val="75000"/>
                  <a:alpha val="55000"/>
                </a:sysClr>
              </a:solidFill>
            </a:ln>
          </c:spPr>
        </c:majorGridlines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+mn-lt"/>
                <a:ea typeface="微軟正黑體" pitchFamily="34" charset="-120"/>
              </a:defRPr>
            </a:pPr>
            <a:endParaRPr lang="zh-TW"/>
          </a:p>
        </c:txPr>
        <c:crossAx val="14220352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0.14513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0" y="0"/>
          <a:ext cx="6129130" cy="543329"/>
        </a:xfrm>
        <a:prstGeom xmlns:a="http://schemas.openxmlformats.org/drawingml/2006/main" prst="rect">
          <a:avLst/>
        </a:prstGeom>
        <a:solidFill xmlns:a="http://schemas.openxmlformats.org/drawingml/2006/main">
          <a:srgbClr val="00A4DE"/>
        </a:solidFill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zh-TW" altLang="zh-TW" sz="2400" b="1" i="0" baseline="0">
              <a:solidFill>
                <a:schemeClr val="bg1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瑞典、俄羅斯、台灣生育率走勢圖   </a:t>
          </a:r>
          <a:endParaRPr lang="zh-TW" altLang="zh-TW" sz="2400" b="1">
            <a:solidFill>
              <a:schemeClr val="bg1"/>
            </a:solidFill>
            <a:effectLst/>
            <a:latin typeface="微軟正黑體" panose="020B0604030504040204" pitchFamily="34" charset="-120"/>
            <a:ea typeface="微軟正黑體" panose="020B0604030504040204" pitchFamily="34" charset="-120"/>
          </a:endParaRPr>
        </a:p>
        <a:p xmlns:a="http://schemas.openxmlformats.org/drawingml/2006/main">
          <a:endParaRPr lang="zh-TW" altLang="en-US" sz="1200"/>
        </a:p>
      </cdr:txBody>
    </cdr:sp>
  </cdr:relSizeAnchor>
  <cdr:relSizeAnchor xmlns:cdr="http://schemas.openxmlformats.org/drawingml/2006/chartDrawing">
    <cdr:from>
      <cdr:x>0</cdr:x>
      <cdr:y>0.9115</cdr:y>
    </cdr:from>
    <cdr:to>
      <cdr:x>1</cdr:x>
      <cdr:y>1</cdr:y>
    </cdr:to>
    <cdr:sp macro="" textlink="">
      <cdr:nvSpPr>
        <cdr:cNvPr id="4" name="文字方塊 3"/>
        <cdr:cNvSpPr txBox="1"/>
      </cdr:nvSpPr>
      <cdr:spPr>
        <a:xfrm xmlns:a="http://schemas.openxmlformats.org/drawingml/2006/main">
          <a:off x="0" y="3412435"/>
          <a:ext cx="6129130" cy="331305"/>
        </a:xfrm>
        <a:prstGeom xmlns:a="http://schemas.openxmlformats.org/drawingml/2006/main" prst="rect">
          <a:avLst/>
        </a:prstGeom>
        <a:solidFill xmlns:a="http://schemas.openxmlformats.org/drawingml/2006/main">
          <a:srgbClr val="00A4DE"/>
        </a:solidFill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zh-TW" altLang="en-US" sz="14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                                                                     數據來源：美國人口資料局      </a:t>
          </a:r>
          <a:r>
            <a:rPr lang="zh-TW" altLang="en-US" sz="1400" b="1" baseline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zh-TW" altLang="en-US" sz="14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        </a:t>
          </a:r>
          <a:endParaRPr lang="en-US" altLang="zh-TW" sz="1400" b="1">
            <a:solidFill>
              <a:schemeClr val="bg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cdr:txBody>
    </cdr:sp>
  </cdr:relSizeAnchor>
  <cdr:relSizeAnchor xmlns:cdr="http://schemas.openxmlformats.org/drawingml/2006/chartDrawing">
    <cdr:from>
      <cdr:x>0.19858</cdr:x>
      <cdr:y>0.15822</cdr:y>
    </cdr:from>
    <cdr:to>
      <cdr:x>0.5274</cdr:x>
      <cdr:y>0.23195</cdr:y>
    </cdr:to>
    <cdr:sp macro="" textlink="">
      <cdr:nvSpPr>
        <cdr:cNvPr id="5" name="文字方塊 4"/>
        <cdr:cNvSpPr txBox="1"/>
      </cdr:nvSpPr>
      <cdr:spPr>
        <a:xfrm xmlns:a="http://schemas.openxmlformats.org/drawingml/2006/main">
          <a:off x="817681" y="603736"/>
          <a:ext cx="1354015" cy="2813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0.525</cdr:x>
      <cdr:y>0.26768</cdr:y>
    </cdr:from>
    <cdr:to>
      <cdr:x>0.77631</cdr:x>
      <cdr:y>0.31072</cdr:y>
    </cdr:to>
    <cdr:sp macro="" textlink="">
      <cdr:nvSpPr>
        <cdr:cNvPr id="6" name="文字方塊 5"/>
        <cdr:cNvSpPr txBox="1"/>
      </cdr:nvSpPr>
      <cdr:spPr>
        <a:xfrm xmlns:a="http://schemas.openxmlformats.org/drawingml/2006/main">
          <a:off x="3217776" y="1002124"/>
          <a:ext cx="1540312" cy="161130"/>
        </a:xfrm>
        <a:prstGeom xmlns:a="http://schemas.openxmlformats.org/drawingml/2006/main" prst="rect">
          <a:avLst/>
        </a:prstGeom>
        <a:solidFill xmlns:a="http://schemas.openxmlformats.org/drawingml/2006/main">
          <a:srgbClr val="009900"/>
        </a:solidFill>
        <a:ln xmlns:a="http://schemas.openxmlformats.org/drawingml/2006/main">
          <a:noFill/>
        </a:ln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zh-TW" altLang="en-US" sz="9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有妥善托育制度的瑞典</a:t>
          </a:r>
        </a:p>
      </cdr:txBody>
    </cdr:sp>
  </cdr:relSizeAnchor>
  <cdr:relSizeAnchor xmlns:cdr="http://schemas.openxmlformats.org/drawingml/2006/chartDrawing">
    <cdr:from>
      <cdr:x>0.6011</cdr:x>
      <cdr:y>0.49064</cdr:y>
    </cdr:from>
    <cdr:to>
      <cdr:x>0.93109</cdr:x>
      <cdr:y>0.53805</cdr:y>
    </cdr:to>
    <cdr:sp macro="" textlink="">
      <cdr:nvSpPr>
        <cdr:cNvPr id="7" name="文字方塊 1"/>
        <cdr:cNvSpPr txBox="1"/>
      </cdr:nvSpPr>
      <cdr:spPr>
        <a:xfrm xmlns:a="http://schemas.openxmlformats.org/drawingml/2006/main">
          <a:off x="3295975" y="1642838"/>
          <a:ext cx="1809409" cy="158746"/>
        </a:xfrm>
        <a:prstGeom xmlns:a="http://schemas.openxmlformats.org/drawingml/2006/main" prst="rect">
          <a:avLst/>
        </a:prstGeom>
        <a:solidFill xmlns:a="http://schemas.openxmlformats.org/drawingml/2006/main">
          <a:srgbClr val="0070C0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lvl="0" algn="ctr"/>
          <a:r>
            <a:rPr lang="zh-TW" altLang="en-US" sz="9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發高額第二胎生育津貼的俄羅斯</a:t>
          </a:r>
        </a:p>
      </cdr:txBody>
    </cdr:sp>
  </cdr:relSizeAnchor>
  <cdr:relSizeAnchor xmlns:cdr="http://schemas.openxmlformats.org/drawingml/2006/chartDrawing">
    <cdr:from>
      <cdr:x>0.72096</cdr:x>
      <cdr:y>0.73533</cdr:y>
    </cdr:from>
    <cdr:to>
      <cdr:x>0.99094</cdr:x>
      <cdr:y>0.77496</cdr:y>
    </cdr:to>
    <cdr:sp macro="" textlink="">
      <cdr:nvSpPr>
        <cdr:cNvPr id="8" name="文字方塊 1"/>
        <cdr:cNvSpPr txBox="1"/>
      </cdr:nvSpPr>
      <cdr:spPr>
        <a:xfrm xmlns:a="http://schemas.openxmlformats.org/drawingml/2006/main">
          <a:off x="4418876" y="2763200"/>
          <a:ext cx="1654743" cy="148921"/>
        </a:xfrm>
        <a:prstGeom xmlns:a="http://schemas.openxmlformats.org/drawingml/2006/main" prst="rect">
          <a:avLst/>
        </a:prstGeom>
        <a:solidFill xmlns:a="http://schemas.openxmlformats.org/drawingml/2006/main">
          <a:srgbClr val="E20000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zh-TW" altLang="en-US" sz="9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發未就業育兒津貼的台灣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0.00145</cdr:x>
      <cdr:y>0.89961</cdr:y>
    </cdr:from>
    <cdr:to>
      <cdr:x>1</cdr:x>
      <cdr:y>0.99803</cdr:y>
    </cdr:to>
    <cdr:sp macro="" textlink="">
      <cdr:nvSpPr>
        <cdr:cNvPr id="3" name="文字方塊 2"/>
        <cdr:cNvSpPr txBox="1"/>
      </cdr:nvSpPr>
      <cdr:spPr>
        <a:xfrm xmlns:a="http://schemas.openxmlformats.org/drawingml/2006/main">
          <a:off x="7620" y="3482340"/>
          <a:ext cx="5234940" cy="381000"/>
        </a:xfrm>
        <a:prstGeom xmlns:a="http://schemas.openxmlformats.org/drawingml/2006/main" prst="rect">
          <a:avLst/>
        </a:prstGeom>
        <a:solidFill xmlns:a="http://schemas.openxmlformats.org/drawingml/2006/main">
          <a:srgbClr val="0067B4"/>
        </a:solidFill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zh-TW" altLang="en-US" sz="1200" b="1" baseline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                                                </a:t>
          </a:r>
          <a:r>
            <a:rPr lang="zh-TW" altLang="en-US" sz="12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數據來源：</a:t>
          </a:r>
          <a:r>
            <a:rPr lang="en-US" altLang="zh-TW" sz="12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OECD.</a:t>
          </a:r>
          <a:r>
            <a:rPr lang="zh-TW" altLang="en-US" sz="1200" b="1" baseline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b="1" baseline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StatExtracts</a:t>
          </a:r>
          <a:r>
            <a:rPr lang="zh-TW" altLang="en-US" sz="1200" b="1" baseline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 及</a:t>
          </a:r>
          <a:r>
            <a:rPr lang="en-US" altLang="zh-TW" sz="1200" b="1" baseline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zh-TW" altLang="en-US" sz="1200" b="1" baseline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行政院主計總處</a:t>
          </a:r>
          <a:r>
            <a:rPr lang="en-US" altLang="zh-TW" sz="1200" b="1" baseline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     </a:t>
          </a:r>
          <a:endParaRPr lang="zh-TW" altLang="en-US" sz="1200" b="1">
            <a:solidFill>
              <a:schemeClr val="bg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cdr:txBody>
    </cdr:sp>
  </cdr:relSizeAnchor>
  <cdr:relSizeAnchor xmlns:cdr="http://schemas.openxmlformats.org/drawingml/2006/chartDrawing">
    <cdr:from>
      <cdr:x>0.00145</cdr:x>
      <cdr:y>0</cdr:y>
    </cdr:from>
    <cdr:to>
      <cdr:x>1</cdr:x>
      <cdr:y>0.14173</cdr:y>
    </cdr:to>
    <cdr:sp macro="" textlink="">
      <cdr:nvSpPr>
        <cdr:cNvPr id="4" name="文字方塊 1"/>
        <cdr:cNvSpPr txBox="1"/>
      </cdr:nvSpPr>
      <cdr:spPr>
        <a:xfrm xmlns:a="http://schemas.openxmlformats.org/drawingml/2006/main">
          <a:off x="8785" y="0"/>
          <a:ext cx="6049894" cy="528335"/>
        </a:xfrm>
        <a:prstGeom xmlns:a="http://schemas.openxmlformats.org/drawingml/2006/main" prst="rect">
          <a:avLst/>
        </a:prstGeom>
        <a:solidFill xmlns:a="http://schemas.openxmlformats.org/drawingml/2006/main">
          <a:srgbClr val="0067B4"/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2200" b="1">
              <a:solidFill>
                <a:schemeClr val="bg1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2012</a:t>
          </a:r>
          <a:r>
            <a:rPr lang="zh-TW" altLang="en-US" sz="22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瑞典、俄羅斯、台灣女性職涯曲線圖</a:t>
          </a:r>
        </a:p>
      </cdr:txBody>
    </cdr:sp>
  </cdr:relSizeAnchor>
  <cdr:relSizeAnchor xmlns:cdr="http://schemas.openxmlformats.org/drawingml/2006/chartDrawing">
    <cdr:from>
      <cdr:x>0.14174</cdr:x>
      <cdr:y>0.1491</cdr:y>
    </cdr:from>
    <cdr:to>
      <cdr:x>0.21447</cdr:x>
      <cdr:y>0.23908</cdr:y>
    </cdr:to>
    <cdr:sp macro="" textlink="">
      <cdr:nvSpPr>
        <cdr:cNvPr id="5" name="文字方塊 4"/>
        <cdr:cNvSpPr txBox="1"/>
      </cdr:nvSpPr>
      <cdr:spPr>
        <a:xfrm xmlns:a="http://schemas.openxmlformats.org/drawingml/2006/main">
          <a:off x="873299" y="519304"/>
          <a:ext cx="448125" cy="3133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zh-TW" sz="1050" b="1"/>
            <a:t>%</a:t>
          </a:r>
          <a:endParaRPr lang="zh-TW" altLang="en-US" sz="1050" b="1"/>
        </a:p>
      </cdr:txBody>
    </cdr:sp>
  </cdr:relSizeAnchor>
  <cdr:relSizeAnchor xmlns:cdr="http://schemas.openxmlformats.org/drawingml/2006/chartDrawing">
    <cdr:from>
      <cdr:x>0.29988</cdr:x>
      <cdr:y>0.41754</cdr:y>
    </cdr:from>
    <cdr:to>
      <cdr:x>0.5842</cdr:x>
      <cdr:y>0.48012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1648833" y="1458705"/>
          <a:ext cx="1563290" cy="218627"/>
        </a:xfrm>
        <a:prstGeom xmlns:a="http://schemas.openxmlformats.org/drawingml/2006/main" prst="rect">
          <a:avLst/>
        </a:prstGeom>
        <a:solidFill xmlns:a="http://schemas.openxmlformats.org/drawingml/2006/main">
          <a:srgbClr val="E20000"/>
        </a:solidFill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zh-TW" altLang="zh-TW" sz="900" b="1">
              <a:solidFill>
                <a:schemeClr val="bg1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女性</a:t>
          </a:r>
          <a:r>
            <a:rPr lang="zh-TW" altLang="en-US" sz="9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婚育就回不去了的台灣</a:t>
          </a:r>
        </a:p>
      </cdr:txBody>
    </cdr:sp>
  </cdr:relSizeAnchor>
  <cdr:relSizeAnchor xmlns:cdr="http://schemas.openxmlformats.org/drawingml/2006/chartDrawing">
    <cdr:from>
      <cdr:x>0.42678</cdr:x>
      <cdr:y>0.34945</cdr:y>
    </cdr:from>
    <cdr:to>
      <cdr:x>0.4448</cdr:x>
      <cdr:y>0.41963</cdr:y>
    </cdr:to>
    <cdr:sp macro="" textlink="">
      <cdr:nvSpPr>
        <cdr:cNvPr id="9" name="向上箭號 8"/>
        <cdr:cNvSpPr/>
      </cdr:nvSpPr>
      <cdr:spPr>
        <a:xfrm xmlns:a="http://schemas.openxmlformats.org/drawingml/2006/main">
          <a:off x="2629581" y="1217075"/>
          <a:ext cx="111029" cy="244425"/>
        </a:xfrm>
        <a:prstGeom xmlns:a="http://schemas.openxmlformats.org/drawingml/2006/main" prst="upArrow">
          <a:avLst/>
        </a:prstGeom>
        <a:solidFill xmlns:a="http://schemas.openxmlformats.org/drawingml/2006/main">
          <a:srgbClr val="EE0000"/>
        </a:solidFill>
        <a:ln xmlns:a="http://schemas.openxmlformats.org/drawingml/2006/main">
          <a:solidFill>
            <a:srgbClr val="EE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zh-TW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0452-6C9E-4E63-AC41-FC2FD68E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592</Words>
  <Characters>3381</Characters>
  <Application>Microsoft Office Word</Application>
  <DocSecurity>0</DocSecurity>
  <Lines>28</Lines>
  <Paragraphs>7</Paragraphs>
  <ScaleCrop>false</ScaleCrop>
  <Company>Toshiba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AETU</cp:lastModifiedBy>
  <cp:revision>2</cp:revision>
  <dcterms:created xsi:type="dcterms:W3CDTF">2013-11-08T03:55:00Z</dcterms:created>
  <dcterms:modified xsi:type="dcterms:W3CDTF">2013-11-08T03:55:00Z</dcterms:modified>
</cp:coreProperties>
</file>